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colors1.xml" ContentType="application/vnd.ms-office.chartcolorstyle+xml"/>
  <Override PartName="/word/charts/chart/style1.xml" ContentType="application/vnd.ms-office.chartstyle+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E2507D" w:rsidP="00E2507D">
      <w:pPr>
        <w:autoSpaceDE/>
        <w:autoSpaceDN/>
        <w:adjustRightInd/>
        <w:spacing w:after="0"/>
      </w:pPr>
      <w:r>
        <w:t xml:space="preserve"> </w:t>
      </w:r>
    </w:p>
    <w:p w:rsidR="00E2507D" w:rsidRPr="00506BBC" w:rsidP="00E2507D">
      <w:pPr>
        <w:autoSpaceDE/>
        <w:autoSpaceDN/>
        <w:adjustRightInd/>
        <w:spacing w:after="0"/>
        <w:rPr>
          <w:highlight w:val="yellow"/>
        </w:rPr>
        <w:sectPr w:rsidSect="00E2507D">
          <w:headerReference w:type="default" r:id="rId5"/>
          <w:footerReference w:type="default" r:id="rId6"/>
          <w:headerReference w:type="first" r:id="rId7"/>
          <w:pgSz w:w="11900" w:h="16840" w:code="9"/>
          <w:pgMar w:top="1361" w:right="1361" w:bottom="1361" w:left="1361" w:header="709" w:footer="709" w:gutter="0"/>
          <w:cols w:space="292"/>
          <w:titlePg/>
          <w:docGrid w:linePitch="326"/>
        </w:sectPr>
      </w:pPr>
      <w:r w:rsidRPr="00506BBC">
        <w:rPr>
          <w:noProof/>
          <w:highlight w:val="yellow"/>
          <w:lang w:eastAsia="en-GB"/>
        </w:rPr>
        <mc:AlternateContent>
          <mc:Choice Requires="wps">
            <w:drawing>
              <wp:anchor distT="0" distB="0" distL="114300" distR="114300" simplePos="0" relativeHeight="251658240" behindDoc="0" locked="0" layoutInCell="1" allowOverlap="1">
                <wp:simplePos x="0" y="0"/>
                <wp:positionH relativeFrom="margin">
                  <wp:posOffset>-180753</wp:posOffset>
                </wp:positionH>
                <wp:positionV relativeFrom="paragraph">
                  <wp:posOffset>5747385</wp:posOffset>
                </wp:positionV>
                <wp:extent cx="6640195" cy="3027045"/>
                <wp:effectExtent l="0" t="0" r="0" b="1905"/>
                <wp:wrapNone/>
                <wp:docPr id="3"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640195" cy="302704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11F8A" w:rsidP="00E2507D">
                            <w:pPr>
                              <w:spacing w:after="0"/>
                              <w:ind w:right="-46"/>
                              <w:jc w:val="left"/>
                              <w:rPr>
                                <w:rFonts w:cs="Arial"/>
                                <w:b/>
                                <w:bCs/>
                                <w:sz w:val="52"/>
                                <w:szCs w:val="52"/>
                              </w:rPr>
                            </w:pPr>
                          </w:p>
                          <w:p w:rsidR="00711F8A" w:rsidRPr="0037393E" w:rsidP="00E2507D">
                            <w:pPr>
                              <w:spacing w:after="0"/>
                              <w:ind w:right="-46"/>
                              <w:jc w:val="left"/>
                              <w:rPr>
                                <w:rFonts w:cs="Arial"/>
                                <w:b/>
                                <w:bCs/>
                                <w:sz w:val="52"/>
                                <w:szCs w:val="52"/>
                              </w:rPr>
                            </w:pPr>
                          </w:p>
                          <w:p w:rsidR="00711F8A" w:rsidP="00E2507D">
                            <w:pPr>
                              <w:spacing w:after="0"/>
                              <w:ind w:right="-46"/>
                              <w:jc w:val="left"/>
                              <w:rPr>
                                <w:rFonts w:cs="Arial"/>
                                <w:b/>
                                <w:bCs/>
                                <w:sz w:val="52"/>
                                <w:szCs w:val="52"/>
                              </w:rPr>
                            </w:pPr>
                            <w:r>
                              <w:rPr>
                                <w:rFonts w:cs="Arial"/>
                                <w:b/>
                                <w:bCs/>
                                <w:sz w:val="52"/>
                                <w:szCs w:val="52"/>
                              </w:rPr>
                              <w:t>Money Matters</w:t>
                            </w:r>
                          </w:p>
                          <w:p w:rsidR="00711F8A" w:rsidP="00E2507D">
                            <w:pPr>
                              <w:spacing w:after="0"/>
                              <w:ind w:right="-46"/>
                              <w:jc w:val="left"/>
                              <w:rPr>
                                <w:rFonts w:cs="Arial"/>
                                <w:b/>
                                <w:bCs/>
                                <w:sz w:val="52"/>
                                <w:szCs w:val="52"/>
                              </w:rPr>
                            </w:pPr>
                            <w:r>
                              <w:rPr>
                                <w:rFonts w:cs="Arial"/>
                                <w:b/>
                                <w:bCs/>
                                <w:sz w:val="52"/>
                                <w:szCs w:val="52"/>
                              </w:rPr>
                              <w:t xml:space="preserve">The County Council's Revenue and Capital Financial Position </w:t>
                            </w:r>
                          </w:p>
                          <w:p w:rsidR="00711F8A" w:rsidRPr="0037393E" w:rsidP="00E2507D">
                            <w:pPr>
                              <w:spacing w:after="0"/>
                              <w:ind w:right="-46"/>
                              <w:jc w:val="left"/>
                              <w:rPr>
                                <w:rFonts w:cs="Arial"/>
                                <w:b/>
                                <w:bCs/>
                                <w:sz w:val="52"/>
                                <w:szCs w:val="52"/>
                              </w:rPr>
                            </w:pPr>
                            <w:r>
                              <w:rPr>
                                <w:rFonts w:cs="Arial"/>
                                <w:b/>
                                <w:bCs/>
                                <w:sz w:val="52"/>
                                <w:szCs w:val="52"/>
                              </w:rPr>
                              <w:t xml:space="preserve">2019/20 Outturn </w:t>
                            </w:r>
                          </w:p>
                          <w:p w:rsidR="00711F8A" w:rsidRPr="0037393E" w:rsidP="00E2507D">
                            <w:pPr>
                              <w:spacing w:after="0"/>
                              <w:ind w:right="-46"/>
                              <w:jc w:val="left"/>
                              <w:rPr>
                                <w:rFonts w:cs="Arial"/>
                                <w:b/>
                                <w:bCs/>
                                <w:sz w:val="52"/>
                                <w:szCs w:val="52"/>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5" type="#_x0000_t202" style="width:522.85pt;height:238.35pt;margin-top:452.55pt;margin-left:-14.25pt;mso-height-percent:0;mso-height-relative:page;mso-position-horizontal-relative:margin;mso-width-percent:0;mso-width-relative:page;mso-wrap-distance-bottom:0;mso-wrap-distance-left:9pt;mso-wrap-distance-right:9pt;mso-wrap-distance-top:0;mso-wrap-style:square;position:absolute;visibility:visible;v-text-anchor:top;z-index:251659264" filled="f" stroked="f">
                <v:textbox>
                  <w:txbxContent>
                    <w:p w:rsidR="00711F8A" w:rsidP="00E2507D">
                      <w:pPr>
                        <w:spacing w:after="0"/>
                        <w:ind w:right="-46"/>
                        <w:jc w:val="left"/>
                        <w:rPr>
                          <w:rFonts w:cs="Arial"/>
                          <w:b/>
                          <w:bCs/>
                          <w:sz w:val="52"/>
                          <w:szCs w:val="52"/>
                        </w:rPr>
                      </w:pPr>
                    </w:p>
                    <w:p w:rsidR="00711F8A" w:rsidRPr="0037393E" w:rsidP="00E2507D">
                      <w:pPr>
                        <w:spacing w:after="0"/>
                        <w:ind w:right="-46"/>
                        <w:jc w:val="left"/>
                        <w:rPr>
                          <w:rFonts w:cs="Arial"/>
                          <w:b/>
                          <w:bCs/>
                          <w:sz w:val="52"/>
                          <w:szCs w:val="52"/>
                        </w:rPr>
                      </w:pPr>
                    </w:p>
                    <w:p w:rsidR="00711F8A" w:rsidP="00E2507D">
                      <w:pPr>
                        <w:spacing w:after="0"/>
                        <w:ind w:right="-46"/>
                        <w:jc w:val="left"/>
                        <w:rPr>
                          <w:rFonts w:cs="Arial"/>
                          <w:b/>
                          <w:bCs/>
                          <w:sz w:val="52"/>
                          <w:szCs w:val="52"/>
                        </w:rPr>
                      </w:pPr>
                      <w:r>
                        <w:rPr>
                          <w:rFonts w:cs="Arial"/>
                          <w:b/>
                          <w:bCs/>
                          <w:sz w:val="52"/>
                          <w:szCs w:val="52"/>
                        </w:rPr>
                        <w:t>Money Matters</w:t>
                      </w:r>
                    </w:p>
                    <w:p w:rsidR="00711F8A" w:rsidP="00E2507D">
                      <w:pPr>
                        <w:spacing w:after="0"/>
                        <w:ind w:right="-46"/>
                        <w:jc w:val="left"/>
                        <w:rPr>
                          <w:rFonts w:cs="Arial"/>
                          <w:b/>
                          <w:bCs/>
                          <w:sz w:val="52"/>
                          <w:szCs w:val="52"/>
                        </w:rPr>
                      </w:pPr>
                      <w:r>
                        <w:rPr>
                          <w:rFonts w:cs="Arial"/>
                          <w:b/>
                          <w:bCs/>
                          <w:sz w:val="52"/>
                          <w:szCs w:val="52"/>
                        </w:rPr>
                        <w:t xml:space="preserve">The County Council's Revenue and Capital Financial Position </w:t>
                      </w:r>
                    </w:p>
                    <w:p w:rsidR="00711F8A" w:rsidRPr="0037393E" w:rsidP="00E2507D">
                      <w:pPr>
                        <w:spacing w:after="0"/>
                        <w:ind w:right="-46"/>
                        <w:jc w:val="left"/>
                        <w:rPr>
                          <w:rFonts w:cs="Arial"/>
                          <w:b/>
                          <w:bCs/>
                          <w:sz w:val="52"/>
                          <w:szCs w:val="52"/>
                        </w:rPr>
                      </w:pPr>
                      <w:r>
                        <w:rPr>
                          <w:rFonts w:cs="Arial"/>
                          <w:b/>
                          <w:bCs/>
                          <w:sz w:val="52"/>
                          <w:szCs w:val="52"/>
                        </w:rPr>
                        <w:t xml:space="preserve">2019/20 Outturn </w:t>
                      </w:r>
                    </w:p>
                    <w:p w:rsidR="00711F8A" w:rsidRPr="0037393E" w:rsidP="00E2507D">
                      <w:pPr>
                        <w:spacing w:after="0"/>
                        <w:ind w:right="-46"/>
                        <w:jc w:val="left"/>
                        <w:rPr>
                          <w:rFonts w:cs="Arial"/>
                          <w:b/>
                          <w:bCs/>
                          <w:sz w:val="52"/>
                          <w:szCs w:val="52"/>
                        </w:rPr>
                      </w:pPr>
                    </w:p>
                  </w:txbxContent>
                </v:textbox>
                <w10:wrap anchorx="margin"/>
              </v:shape>
            </w:pict>
          </mc:Fallback>
        </mc:AlternateContent>
      </w:r>
    </w:p>
    <w:tbl>
      <w:tblPr>
        <w:tblStyle w:val="TableGrid"/>
        <w:tblW w:w="0" w:type="auto"/>
        <w:tblLook w:val="04A0"/>
      </w:tblPr>
      <w:tblGrid>
        <w:gridCol w:w="6657"/>
        <w:gridCol w:w="2318"/>
      </w:tblGrid>
      <w:tr w:rsidTr="00E2507D">
        <w:tblPrEx>
          <w:tblW w:w="0" w:type="auto"/>
          <w:tblLook w:val="04A0"/>
        </w:tblPrEx>
        <w:tc>
          <w:tcPr>
            <w:tcW w:w="6657" w:type="dxa"/>
          </w:tcPr>
          <w:p w:rsidR="00E2507D" w:rsidRPr="00C06EF7" w:rsidP="00E2507D">
            <w:pPr>
              <w:spacing w:after="0"/>
              <w:ind w:right="-46"/>
              <w:jc w:val="center"/>
              <w:rPr>
                <w:rFonts w:cs="Arial"/>
                <w:b/>
                <w:bCs/>
                <w:sz w:val="26"/>
                <w:szCs w:val="26"/>
              </w:rPr>
            </w:pPr>
          </w:p>
          <w:p w:rsidR="00E2507D" w:rsidRPr="00C06EF7" w:rsidP="00E2507D">
            <w:pPr>
              <w:spacing w:after="0"/>
              <w:ind w:right="-46"/>
              <w:jc w:val="center"/>
              <w:rPr>
                <w:rFonts w:cs="Arial"/>
                <w:b/>
                <w:bCs/>
                <w:sz w:val="26"/>
                <w:szCs w:val="26"/>
              </w:rPr>
            </w:pPr>
            <w:r w:rsidRPr="00C06EF7">
              <w:rPr>
                <w:rFonts w:cs="Arial"/>
                <w:b/>
                <w:bCs/>
                <w:sz w:val="26"/>
                <w:szCs w:val="26"/>
              </w:rPr>
              <w:t>Contents</w:t>
            </w:r>
          </w:p>
          <w:p w:rsidR="00E2507D" w:rsidRPr="00C06EF7" w:rsidP="00E2507D">
            <w:pPr>
              <w:spacing w:after="0"/>
              <w:ind w:right="-46"/>
              <w:jc w:val="center"/>
              <w:rPr>
                <w:rFonts w:cs="Arial"/>
                <w:b/>
                <w:bCs/>
                <w:sz w:val="26"/>
                <w:szCs w:val="26"/>
              </w:rPr>
            </w:pPr>
          </w:p>
        </w:tc>
        <w:tc>
          <w:tcPr>
            <w:tcW w:w="2318" w:type="dxa"/>
          </w:tcPr>
          <w:p w:rsidR="00E2507D" w:rsidRPr="00506BBC" w:rsidP="00E2507D">
            <w:pPr>
              <w:spacing w:after="0"/>
              <w:ind w:right="-46"/>
              <w:jc w:val="center"/>
              <w:rPr>
                <w:rFonts w:cs="Arial"/>
                <w:b/>
                <w:bCs/>
                <w:sz w:val="26"/>
                <w:szCs w:val="26"/>
                <w:highlight w:val="yellow"/>
              </w:rPr>
            </w:pPr>
          </w:p>
          <w:p w:rsidR="00E2507D" w:rsidRPr="00506BBC" w:rsidP="00E2507D">
            <w:pPr>
              <w:spacing w:after="0"/>
              <w:ind w:right="-46"/>
              <w:jc w:val="center"/>
              <w:rPr>
                <w:rFonts w:cs="Arial"/>
                <w:b/>
                <w:bCs/>
                <w:sz w:val="26"/>
                <w:szCs w:val="26"/>
                <w:highlight w:val="yellow"/>
              </w:rPr>
            </w:pPr>
            <w:r w:rsidRPr="00247301">
              <w:rPr>
                <w:rFonts w:cs="Arial"/>
                <w:b/>
                <w:bCs/>
                <w:sz w:val="26"/>
                <w:szCs w:val="26"/>
              </w:rPr>
              <w:t>Page</w:t>
            </w:r>
          </w:p>
        </w:tc>
      </w:tr>
      <w:tr w:rsidTr="00E2507D">
        <w:tblPrEx>
          <w:tblW w:w="0" w:type="auto"/>
          <w:tblLook w:val="04A0"/>
        </w:tblPrEx>
        <w:tc>
          <w:tcPr>
            <w:tcW w:w="6657" w:type="dxa"/>
            <w:vAlign w:val="center"/>
          </w:tcPr>
          <w:p w:rsidR="00E2507D" w:rsidRPr="00C06EF7" w:rsidP="00E2507D">
            <w:pPr>
              <w:spacing w:after="0"/>
              <w:ind w:right="-46"/>
              <w:jc w:val="left"/>
              <w:rPr>
                <w:rFonts w:cs="Arial"/>
                <w:bCs/>
                <w:szCs w:val="26"/>
              </w:rPr>
            </w:pPr>
          </w:p>
          <w:p w:rsidR="00E2507D" w:rsidRPr="00C06EF7" w:rsidP="00E2507D">
            <w:pPr>
              <w:spacing w:after="0"/>
              <w:ind w:right="-46"/>
              <w:jc w:val="left"/>
              <w:rPr>
                <w:rFonts w:cs="Arial"/>
                <w:bCs/>
                <w:szCs w:val="26"/>
              </w:rPr>
            </w:pPr>
            <w:r w:rsidRPr="00C06EF7">
              <w:rPr>
                <w:rFonts w:cs="Arial"/>
                <w:bCs/>
                <w:szCs w:val="26"/>
              </w:rPr>
              <w:t>Executive Summary</w:t>
            </w:r>
          </w:p>
          <w:p w:rsidR="00E2507D" w:rsidRPr="00C06EF7" w:rsidP="00E2507D">
            <w:pPr>
              <w:spacing w:after="0"/>
              <w:ind w:right="-46"/>
              <w:jc w:val="left"/>
              <w:rPr>
                <w:rFonts w:cs="Arial"/>
                <w:bCs/>
                <w:szCs w:val="26"/>
              </w:rPr>
            </w:pPr>
          </w:p>
        </w:tc>
        <w:tc>
          <w:tcPr>
            <w:tcW w:w="2318" w:type="dxa"/>
            <w:vAlign w:val="center"/>
          </w:tcPr>
          <w:p w:rsidR="00E2507D" w:rsidRPr="00506BBC" w:rsidP="00E2507D">
            <w:pPr>
              <w:spacing w:after="0"/>
              <w:ind w:right="-46"/>
              <w:jc w:val="center"/>
              <w:rPr>
                <w:rFonts w:cs="Arial"/>
                <w:bCs/>
                <w:szCs w:val="26"/>
                <w:highlight w:val="yellow"/>
              </w:rPr>
            </w:pPr>
            <w:r w:rsidRPr="00247301">
              <w:rPr>
                <w:rFonts w:cs="Arial"/>
                <w:bCs/>
                <w:szCs w:val="26"/>
              </w:rPr>
              <w:t>2</w:t>
            </w:r>
          </w:p>
        </w:tc>
      </w:tr>
      <w:tr w:rsidTr="00E2507D">
        <w:tblPrEx>
          <w:tblW w:w="0" w:type="auto"/>
          <w:tblLook w:val="04A0"/>
        </w:tblPrEx>
        <w:tc>
          <w:tcPr>
            <w:tcW w:w="6657" w:type="dxa"/>
          </w:tcPr>
          <w:p w:rsidR="00E2507D" w:rsidRPr="00C06EF7" w:rsidP="00E2507D">
            <w:pPr>
              <w:tabs>
                <w:tab w:val="left" w:pos="1447"/>
              </w:tabs>
              <w:spacing w:after="0"/>
              <w:ind w:right="-46"/>
              <w:rPr>
                <w:rFonts w:cs="Arial"/>
                <w:bCs/>
              </w:rPr>
            </w:pPr>
          </w:p>
          <w:p w:rsidR="00E2507D" w:rsidRPr="00C06EF7" w:rsidP="00E2507D">
            <w:pPr>
              <w:tabs>
                <w:tab w:val="left" w:pos="1447"/>
              </w:tabs>
              <w:spacing w:after="0"/>
              <w:ind w:right="-46"/>
              <w:rPr>
                <w:rFonts w:cs="Arial"/>
                <w:bCs/>
              </w:rPr>
            </w:pPr>
            <w:r w:rsidRPr="00C06EF7">
              <w:rPr>
                <w:rFonts w:cs="Arial"/>
                <w:bCs/>
              </w:rPr>
              <w:t>Section A - The 2019/20 Revenue Budget</w:t>
            </w:r>
          </w:p>
          <w:p w:rsidR="00E2507D" w:rsidRPr="00C06EF7" w:rsidP="00E2507D">
            <w:pPr>
              <w:tabs>
                <w:tab w:val="left" w:pos="1447"/>
              </w:tabs>
              <w:spacing w:after="0"/>
              <w:ind w:right="-46"/>
              <w:rPr>
                <w:rFonts w:cs="Arial"/>
                <w:bCs/>
              </w:rPr>
            </w:pPr>
          </w:p>
        </w:tc>
        <w:tc>
          <w:tcPr>
            <w:tcW w:w="2318" w:type="dxa"/>
            <w:vAlign w:val="center"/>
          </w:tcPr>
          <w:p w:rsidR="00E2507D" w:rsidRPr="00506BBC" w:rsidP="00E2507D">
            <w:pPr>
              <w:spacing w:after="0"/>
              <w:ind w:right="-46"/>
              <w:jc w:val="center"/>
              <w:rPr>
                <w:rFonts w:cs="Arial"/>
                <w:bCs/>
                <w:highlight w:val="yellow"/>
              </w:rPr>
            </w:pPr>
            <w:r w:rsidRPr="00E32029">
              <w:rPr>
                <w:rFonts w:cs="Arial"/>
                <w:bCs/>
              </w:rPr>
              <w:t>4</w:t>
            </w:r>
          </w:p>
        </w:tc>
      </w:tr>
      <w:tr w:rsidTr="00E2507D">
        <w:tblPrEx>
          <w:tblW w:w="0" w:type="auto"/>
          <w:tblLook w:val="04A0"/>
        </w:tblPrEx>
        <w:tc>
          <w:tcPr>
            <w:tcW w:w="6657" w:type="dxa"/>
          </w:tcPr>
          <w:p w:rsidR="00E2507D" w:rsidRPr="00C06EF7" w:rsidP="00E2507D">
            <w:pPr>
              <w:tabs>
                <w:tab w:val="left" w:pos="1447"/>
              </w:tabs>
              <w:spacing w:after="0"/>
              <w:ind w:right="-46"/>
              <w:rPr>
                <w:rFonts w:cs="Arial"/>
                <w:bCs/>
              </w:rPr>
            </w:pPr>
          </w:p>
          <w:p w:rsidR="00E2507D" w:rsidRPr="00C06EF7" w:rsidP="00E2507D">
            <w:pPr>
              <w:tabs>
                <w:tab w:val="left" w:pos="1447"/>
              </w:tabs>
              <w:spacing w:after="0"/>
              <w:ind w:right="-46"/>
              <w:rPr>
                <w:rFonts w:cs="Arial"/>
                <w:bCs/>
              </w:rPr>
            </w:pPr>
            <w:r w:rsidRPr="00C06EF7">
              <w:rPr>
                <w:rFonts w:cs="Arial"/>
                <w:bCs/>
              </w:rPr>
              <w:t xml:space="preserve">Section B – The 2019/20 Schools Budget </w:t>
            </w:r>
          </w:p>
          <w:p w:rsidR="00E2507D" w:rsidRPr="00C06EF7" w:rsidP="00E2507D">
            <w:pPr>
              <w:tabs>
                <w:tab w:val="left" w:pos="1447"/>
              </w:tabs>
              <w:spacing w:after="0"/>
              <w:ind w:right="-46"/>
              <w:rPr>
                <w:rFonts w:cs="Arial"/>
                <w:bCs/>
              </w:rPr>
            </w:pPr>
          </w:p>
        </w:tc>
        <w:tc>
          <w:tcPr>
            <w:tcW w:w="2318" w:type="dxa"/>
            <w:vAlign w:val="center"/>
          </w:tcPr>
          <w:p w:rsidR="00E2507D" w:rsidRPr="00506BBC" w:rsidP="00E2507D">
            <w:pPr>
              <w:spacing w:after="0"/>
              <w:ind w:right="-46"/>
              <w:jc w:val="center"/>
              <w:rPr>
                <w:rFonts w:cs="Arial"/>
                <w:bCs/>
                <w:highlight w:val="yellow"/>
              </w:rPr>
            </w:pPr>
            <w:r w:rsidRPr="00EC593E">
              <w:rPr>
                <w:rFonts w:cs="Arial"/>
                <w:bCs/>
              </w:rPr>
              <w:t>23</w:t>
            </w:r>
          </w:p>
        </w:tc>
      </w:tr>
      <w:tr w:rsidTr="00E2507D">
        <w:tblPrEx>
          <w:tblW w:w="0" w:type="auto"/>
          <w:tblLook w:val="04A0"/>
        </w:tblPrEx>
        <w:tc>
          <w:tcPr>
            <w:tcW w:w="6657" w:type="dxa"/>
          </w:tcPr>
          <w:p w:rsidR="00E2507D" w:rsidRPr="00C06EF7" w:rsidP="00E2507D">
            <w:pPr>
              <w:tabs>
                <w:tab w:val="left" w:pos="1447"/>
              </w:tabs>
              <w:spacing w:after="0"/>
              <w:ind w:right="-46"/>
              <w:rPr>
                <w:rFonts w:cs="Arial"/>
                <w:bCs/>
              </w:rPr>
            </w:pPr>
          </w:p>
          <w:p w:rsidR="00E2507D" w:rsidRPr="00C06EF7" w:rsidP="00E2507D">
            <w:pPr>
              <w:tabs>
                <w:tab w:val="left" w:pos="1447"/>
              </w:tabs>
              <w:spacing w:after="0"/>
              <w:ind w:right="-46"/>
              <w:rPr>
                <w:rFonts w:cs="Arial"/>
                <w:bCs/>
              </w:rPr>
            </w:pPr>
            <w:r w:rsidRPr="00C06EF7">
              <w:rPr>
                <w:rFonts w:cs="Arial"/>
                <w:bCs/>
              </w:rPr>
              <w:t>Section C – The 2019/20 Capital Programme</w:t>
            </w:r>
          </w:p>
          <w:p w:rsidR="00E2507D" w:rsidRPr="00C06EF7" w:rsidP="00E2507D">
            <w:pPr>
              <w:tabs>
                <w:tab w:val="left" w:pos="1447"/>
              </w:tabs>
              <w:spacing w:after="0"/>
              <w:ind w:right="-46"/>
              <w:rPr>
                <w:rFonts w:cs="Arial"/>
                <w:bCs/>
              </w:rPr>
            </w:pPr>
          </w:p>
        </w:tc>
        <w:tc>
          <w:tcPr>
            <w:tcW w:w="2318" w:type="dxa"/>
            <w:vAlign w:val="center"/>
          </w:tcPr>
          <w:p w:rsidR="00E2507D" w:rsidRPr="00506BBC" w:rsidP="00E2507D">
            <w:pPr>
              <w:spacing w:after="0"/>
              <w:ind w:right="-46"/>
              <w:jc w:val="center"/>
              <w:rPr>
                <w:rFonts w:cs="Arial"/>
                <w:bCs/>
                <w:highlight w:val="yellow"/>
              </w:rPr>
            </w:pPr>
            <w:r w:rsidRPr="00D161B7">
              <w:rPr>
                <w:rFonts w:cs="Arial"/>
                <w:bCs/>
              </w:rPr>
              <w:t>27</w:t>
            </w:r>
          </w:p>
        </w:tc>
      </w:tr>
      <w:tr w:rsidTr="00E2507D">
        <w:tblPrEx>
          <w:tblW w:w="0" w:type="auto"/>
          <w:tblLook w:val="04A0"/>
        </w:tblPrEx>
        <w:tc>
          <w:tcPr>
            <w:tcW w:w="6657" w:type="dxa"/>
          </w:tcPr>
          <w:p w:rsidR="00E2507D" w:rsidRPr="00C06EF7" w:rsidP="00E2507D">
            <w:pPr>
              <w:tabs>
                <w:tab w:val="left" w:pos="1447"/>
              </w:tabs>
              <w:spacing w:after="0"/>
              <w:ind w:right="-46"/>
              <w:rPr>
                <w:rFonts w:cs="Arial"/>
                <w:bCs/>
              </w:rPr>
            </w:pPr>
          </w:p>
          <w:p w:rsidR="00E2507D" w:rsidRPr="00C06EF7" w:rsidP="00E2507D">
            <w:pPr>
              <w:tabs>
                <w:tab w:val="left" w:pos="1447"/>
              </w:tabs>
              <w:spacing w:after="0"/>
              <w:ind w:left="1305" w:right="-46" w:hanging="1276"/>
              <w:rPr>
                <w:rFonts w:cs="Arial"/>
                <w:bCs/>
              </w:rPr>
            </w:pPr>
            <w:r w:rsidRPr="00C06EF7">
              <w:rPr>
                <w:rFonts w:cs="Arial"/>
                <w:bCs/>
              </w:rPr>
              <w:t>Section D – County Fund Balance, Reserves, Provisions and Capital Receipts</w:t>
            </w:r>
          </w:p>
          <w:p w:rsidR="00E2507D" w:rsidRPr="00C06EF7" w:rsidP="00E2507D">
            <w:pPr>
              <w:tabs>
                <w:tab w:val="left" w:pos="1447"/>
              </w:tabs>
              <w:spacing w:after="0"/>
              <w:ind w:right="-46"/>
              <w:rPr>
                <w:rFonts w:cs="Arial"/>
                <w:bCs/>
              </w:rPr>
            </w:pPr>
          </w:p>
        </w:tc>
        <w:tc>
          <w:tcPr>
            <w:tcW w:w="2318" w:type="dxa"/>
            <w:vAlign w:val="center"/>
          </w:tcPr>
          <w:p w:rsidR="00E2507D" w:rsidRPr="00506BBC" w:rsidP="00E2507D">
            <w:pPr>
              <w:spacing w:after="0"/>
              <w:ind w:right="-46"/>
              <w:jc w:val="center"/>
              <w:rPr>
                <w:rFonts w:cs="Arial"/>
                <w:bCs/>
                <w:highlight w:val="yellow"/>
              </w:rPr>
            </w:pPr>
            <w:r w:rsidRPr="00427A6B">
              <w:rPr>
                <w:rFonts w:cs="Arial"/>
                <w:bCs/>
              </w:rPr>
              <w:t>3</w:t>
            </w:r>
            <w:r w:rsidR="00B71B53">
              <w:rPr>
                <w:rFonts w:cs="Arial"/>
                <w:bCs/>
              </w:rPr>
              <w:t>7</w:t>
            </w:r>
          </w:p>
        </w:tc>
      </w:tr>
      <w:tr w:rsidTr="00E2507D">
        <w:tblPrEx>
          <w:tblW w:w="0" w:type="auto"/>
          <w:tblLook w:val="04A0"/>
        </w:tblPrEx>
        <w:tc>
          <w:tcPr>
            <w:tcW w:w="6657" w:type="dxa"/>
          </w:tcPr>
          <w:p w:rsidR="00E2507D" w:rsidRPr="00C06EF7" w:rsidP="00E2507D">
            <w:pPr>
              <w:tabs>
                <w:tab w:val="left" w:pos="1447"/>
              </w:tabs>
              <w:spacing w:after="0"/>
              <w:ind w:right="-46"/>
              <w:rPr>
                <w:rFonts w:cs="Arial"/>
                <w:bCs/>
              </w:rPr>
            </w:pPr>
          </w:p>
          <w:p w:rsidR="00E2507D" w:rsidRPr="00C06EF7" w:rsidP="00E2507D">
            <w:pPr>
              <w:tabs>
                <w:tab w:val="left" w:pos="1447"/>
              </w:tabs>
              <w:spacing w:after="0"/>
              <w:ind w:right="-46"/>
              <w:rPr>
                <w:rFonts w:cs="Arial"/>
                <w:bCs/>
              </w:rPr>
            </w:pPr>
            <w:r w:rsidRPr="00C06EF7">
              <w:rPr>
                <w:rFonts w:cs="Arial"/>
                <w:bCs/>
              </w:rPr>
              <w:t xml:space="preserve">Section E – Conclusion on the County Council's Financial      </w:t>
            </w:r>
            <w:r w:rsidRPr="00C06EF7">
              <w:rPr>
                <w:rFonts w:cs="Arial"/>
                <w:bCs/>
              </w:rPr>
              <w:tab/>
              <w:t>Health</w:t>
            </w:r>
          </w:p>
          <w:p w:rsidR="00E2507D" w:rsidRPr="00C06EF7" w:rsidP="00E2507D">
            <w:pPr>
              <w:tabs>
                <w:tab w:val="left" w:pos="1447"/>
              </w:tabs>
              <w:spacing w:after="0"/>
              <w:ind w:right="-46"/>
              <w:rPr>
                <w:rFonts w:cs="Arial"/>
                <w:bCs/>
              </w:rPr>
            </w:pPr>
          </w:p>
        </w:tc>
        <w:tc>
          <w:tcPr>
            <w:tcW w:w="2318" w:type="dxa"/>
            <w:vAlign w:val="center"/>
          </w:tcPr>
          <w:p w:rsidR="00E2507D" w:rsidRPr="00506BBC" w:rsidP="00E2507D">
            <w:pPr>
              <w:spacing w:after="0"/>
              <w:ind w:right="-46"/>
              <w:jc w:val="center"/>
              <w:rPr>
                <w:rFonts w:cs="Arial"/>
                <w:bCs/>
                <w:highlight w:val="yellow"/>
              </w:rPr>
            </w:pPr>
            <w:r w:rsidRPr="00A13D2A">
              <w:rPr>
                <w:rFonts w:cs="Arial"/>
                <w:bCs/>
              </w:rPr>
              <w:t>4</w:t>
            </w:r>
            <w:bookmarkStart w:id="0" w:name="_GoBack"/>
            <w:r w:rsidR="00B71B53">
              <w:rPr>
                <w:rFonts w:cs="Arial"/>
                <w:bCs/>
              </w:rPr>
              <w:t>2</w:t>
            </w:r>
            <w:bookmarkEnd w:id="0"/>
          </w:p>
        </w:tc>
      </w:tr>
    </w:tbl>
    <w:p w:rsidR="00E2507D" w:rsidRPr="00506BBC" w:rsidP="00E2507D">
      <w:pPr>
        <w:tabs>
          <w:tab w:val="left" w:pos="851"/>
          <w:tab w:val="left" w:pos="1418"/>
        </w:tabs>
        <w:spacing w:after="0"/>
        <w:rPr>
          <w:rFonts w:eastAsia="Times New Roman" w:cs="Arial"/>
          <w:highlight w:val="yellow"/>
          <w:lang w:eastAsia="en-GB"/>
        </w:rPr>
      </w:pPr>
    </w:p>
    <w:p w:rsidR="00E2507D" w:rsidRPr="00506BBC" w:rsidP="00E2507D">
      <w:pPr>
        <w:autoSpaceDE/>
        <w:autoSpaceDN/>
        <w:adjustRightInd/>
        <w:spacing w:after="0"/>
        <w:jc w:val="left"/>
        <w:rPr>
          <w:rFonts w:eastAsia="Times New Roman" w:cs="Arial"/>
          <w:highlight w:val="yellow"/>
          <w:lang w:eastAsia="en-GB"/>
        </w:rPr>
      </w:pPr>
      <w:r w:rsidRPr="00506BBC">
        <w:rPr>
          <w:rFonts w:eastAsia="Times New Roman" w:cs="Arial"/>
          <w:highlight w:val="yellow"/>
          <w:lang w:eastAsia="en-GB"/>
        </w:rPr>
        <w:br w:type="page"/>
      </w:r>
    </w:p>
    <w:p w:rsidR="00E2507D" w:rsidRPr="009D7892" w:rsidP="00E2507D">
      <w:pPr>
        <w:autoSpaceDE/>
        <w:autoSpaceDN/>
        <w:adjustRightInd/>
        <w:spacing w:after="0"/>
        <w:jc w:val="left"/>
        <w:rPr>
          <w:rFonts w:eastAsia="Times New Roman" w:cs="Arial"/>
          <w:b/>
          <w:lang w:eastAsia="en-GB"/>
        </w:rPr>
      </w:pPr>
      <w:r w:rsidRPr="009D7892">
        <w:rPr>
          <w:rFonts w:eastAsia="Times New Roman" w:cs="Arial"/>
          <w:b/>
          <w:lang w:eastAsia="en-GB"/>
        </w:rPr>
        <w:t>Executive Summary</w:t>
      </w:r>
    </w:p>
    <w:p w:rsidR="00E2507D" w:rsidRPr="009D7892" w:rsidP="00E2507D">
      <w:pPr>
        <w:tabs>
          <w:tab w:val="left" w:pos="851"/>
          <w:tab w:val="left" w:pos="1418"/>
        </w:tabs>
        <w:spacing w:after="0"/>
        <w:rPr>
          <w:rFonts w:eastAsia="Times New Roman" w:cs="Arial"/>
          <w:b/>
          <w:lang w:eastAsia="en-GB"/>
        </w:rPr>
      </w:pPr>
    </w:p>
    <w:p w:rsidR="00E2507D" w:rsidRPr="009D7892" w:rsidP="00E2507D">
      <w:pPr>
        <w:tabs>
          <w:tab w:val="left" w:pos="851"/>
          <w:tab w:val="left" w:pos="1418"/>
        </w:tabs>
        <w:spacing w:after="0"/>
        <w:rPr>
          <w:rFonts w:eastAsia="Times New Roman" w:cs="Arial"/>
          <w:lang w:eastAsia="en-GB"/>
        </w:rPr>
      </w:pPr>
      <w:r w:rsidRPr="009D7892">
        <w:rPr>
          <w:rFonts w:eastAsia="Times New Roman" w:cs="Arial"/>
          <w:lang w:eastAsia="en-GB"/>
        </w:rPr>
        <w:t xml:space="preserve">This report provides details for Cabinet on the County Council's 2019/20 revenue and capital outturn position. </w:t>
      </w:r>
    </w:p>
    <w:p w:rsidR="00E2507D" w:rsidRPr="009D7892" w:rsidP="00E2507D">
      <w:pPr>
        <w:tabs>
          <w:tab w:val="left" w:pos="851"/>
          <w:tab w:val="left" w:pos="1418"/>
        </w:tabs>
        <w:spacing w:after="0"/>
        <w:rPr>
          <w:rFonts w:eastAsia="Times New Roman" w:cs="Arial"/>
          <w:lang w:eastAsia="en-GB"/>
        </w:rPr>
      </w:pPr>
    </w:p>
    <w:p w:rsidR="00E2507D" w:rsidRPr="009D7892" w:rsidP="00E2507D">
      <w:pPr>
        <w:tabs>
          <w:tab w:val="left" w:pos="851"/>
          <w:tab w:val="left" w:pos="1418"/>
        </w:tabs>
        <w:spacing w:after="0"/>
        <w:rPr>
          <w:rFonts w:eastAsia="Times New Roman" w:cs="Arial"/>
          <w:i/>
          <w:u w:val="single"/>
          <w:lang w:eastAsia="en-GB"/>
        </w:rPr>
      </w:pPr>
      <w:r w:rsidRPr="009D7892">
        <w:rPr>
          <w:rFonts w:eastAsia="Times New Roman" w:cs="Arial"/>
          <w:i/>
          <w:u w:val="single"/>
          <w:lang w:eastAsia="en-GB"/>
        </w:rPr>
        <w:t xml:space="preserve">2019/20 Revenue Budget </w:t>
      </w:r>
    </w:p>
    <w:p w:rsidR="00E2507D" w:rsidRPr="00506BBC" w:rsidP="00E2507D">
      <w:pPr>
        <w:tabs>
          <w:tab w:val="left" w:pos="851"/>
          <w:tab w:val="left" w:pos="1418"/>
        </w:tabs>
        <w:spacing w:after="0"/>
        <w:rPr>
          <w:rFonts w:eastAsia="Times New Roman" w:cs="Arial"/>
          <w:i/>
          <w:highlight w:val="yellow"/>
          <w:u w:val="single"/>
          <w:lang w:eastAsia="en-GB"/>
        </w:rPr>
      </w:pPr>
    </w:p>
    <w:p w:rsidR="00E2507D" w:rsidRPr="00506BBC" w:rsidP="00E2507D">
      <w:pPr>
        <w:tabs>
          <w:tab w:val="left" w:pos="851"/>
          <w:tab w:val="left" w:pos="1418"/>
        </w:tabs>
        <w:spacing w:after="0"/>
        <w:rPr>
          <w:rFonts w:eastAsia="Times New Roman" w:cs="Arial"/>
          <w:highlight w:val="yellow"/>
          <w:lang w:eastAsia="en-GB"/>
        </w:rPr>
      </w:pPr>
      <w:r w:rsidRPr="009D7892">
        <w:rPr>
          <w:rFonts w:eastAsia="Times New Roman" w:cs="Arial"/>
          <w:lang w:eastAsia="en-GB"/>
        </w:rPr>
        <w:t xml:space="preserve">The report outlines the final revenue outturn position whilst also providing a comparison to the last reported position at Quarter 3. The final position at the end of </w:t>
      </w:r>
      <w:r w:rsidRPr="007066B7">
        <w:rPr>
          <w:rFonts w:eastAsia="Times New Roman" w:cs="Arial"/>
          <w:lang w:eastAsia="en-GB"/>
        </w:rPr>
        <w:t xml:space="preserve">the year is net expenditure </w:t>
      </w:r>
      <w:r w:rsidRPr="007066B7">
        <w:rPr>
          <w:rFonts w:eastAsia="Times New Roman" w:cs="Arial"/>
          <w:color w:val="auto"/>
          <w:lang w:eastAsia="en-GB"/>
        </w:rPr>
        <w:t xml:space="preserve">of £800.534m, which </w:t>
      </w:r>
      <w:r w:rsidRPr="007066B7">
        <w:rPr>
          <w:rFonts w:eastAsia="Times New Roman" w:cs="Arial"/>
          <w:lang w:eastAsia="en-GB"/>
        </w:rPr>
        <w:t xml:space="preserve">represents an in year underspend of £1.741m which is 0.22% </w:t>
      </w:r>
      <w:r w:rsidRPr="009D7892">
        <w:rPr>
          <w:rFonts w:eastAsia="Times New Roman" w:cs="Arial"/>
          <w:lang w:eastAsia="en-GB"/>
        </w:rPr>
        <w:t xml:space="preserve">of the revenue budget. </w:t>
      </w:r>
    </w:p>
    <w:p w:rsidR="00E2507D" w:rsidRPr="00506BBC" w:rsidP="00E2507D">
      <w:pPr>
        <w:tabs>
          <w:tab w:val="left" w:pos="851"/>
          <w:tab w:val="left" w:pos="1418"/>
        </w:tabs>
        <w:spacing w:after="0"/>
        <w:rPr>
          <w:rFonts w:eastAsia="Times New Roman" w:cs="Arial"/>
          <w:highlight w:val="yellow"/>
          <w:lang w:eastAsia="en-GB"/>
        </w:rPr>
      </w:pPr>
    </w:p>
    <w:p w:rsidR="00E2507D" w:rsidRPr="007066B7" w:rsidP="00E2507D">
      <w:pPr>
        <w:tabs>
          <w:tab w:val="left" w:pos="851"/>
          <w:tab w:val="left" w:pos="1418"/>
        </w:tabs>
        <w:spacing w:after="0"/>
        <w:rPr>
          <w:rFonts w:eastAsia="Times New Roman" w:cs="Arial"/>
          <w:lang w:eastAsia="en-GB"/>
        </w:rPr>
      </w:pPr>
      <w:r w:rsidRPr="007066B7">
        <w:rPr>
          <w:rFonts w:eastAsia="Times New Roman" w:cs="Arial"/>
          <w:lang w:eastAsia="en-GB"/>
        </w:rPr>
        <w:t>The reven</w:t>
      </w:r>
      <w:r>
        <w:rPr>
          <w:rFonts w:eastAsia="Times New Roman" w:cs="Arial"/>
          <w:lang w:eastAsia="en-GB"/>
        </w:rPr>
        <w:t>ue position includes a level</w:t>
      </w:r>
      <w:r w:rsidRPr="007066B7">
        <w:rPr>
          <w:rFonts w:eastAsia="Times New Roman" w:cs="Arial"/>
          <w:lang w:eastAsia="en-GB"/>
        </w:rPr>
        <w:t xml:space="preserve"> of</w:t>
      </w:r>
      <w:r>
        <w:rPr>
          <w:rFonts w:eastAsia="Times New Roman" w:cs="Arial"/>
          <w:lang w:eastAsia="en-GB"/>
        </w:rPr>
        <w:t xml:space="preserve"> support from reserves that had</w:t>
      </w:r>
      <w:r w:rsidRPr="007066B7">
        <w:rPr>
          <w:rFonts w:eastAsia="Times New Roman" w:cs="Arial"/>
          <w:lang w:eastAsia="en-GB"/>
        </w:rPr>
        <w:t xml:space="preserve"> previously been agreed. </w:t>
      </w:r>
      <w:r w:rsidRPr="007066B7">
        <w:rPr>
          <w:rFonts w:eastAsia="Times New Roman" w:cs="Arial"/>
          <w:b/>
          <w:lang w:eastAsia="en-GB"/>
        </w:rPr>
        <w:t xml:space="preserve">In 2019/20 </w:t>
      </w:r>
      <w:r>
        <w:rPr>
          <w:rFonts w:eastAsia="Times New Roman" w:cs="Arial"/>
          <w:b/>
          <w:lang w:eastAsia="en-GB"/>
        </w:rPr>
        <w:t>agreed</w:t>
      </w:r>
      <w:r w:rsidRPr="007066B7">
        <w:rPr>
          <w:rFonts w:eastAsia="Times New Roman" w:cs="Arial"/>
          <w:b/>
          <w:lang w:eastAsia="en-GB"/>
        </w:rPr>
        <w:t xml:space="preserve"> structural reserve funding totalled £10.245m</w:t>
      </w:r>
      <w:r w:rsidRPr="007066B7">
        <w:rPr>
          <w:rFonts w:eastAsia="Times New Roman" w:cs="Arial"/>
          <w:b/>
          <w:lang w:eastAsia="en-GB"/>
        </w:rPr>
        <w:t xml:space="preserve">, </w:t>
      </w:r>
      <w:r>
        <w:rPr>
          <w:rFonts w:eastAsia="Times New Roman" w:cs="Arial"/>
          <w:b/>
          <w:lang w:eastAsia="en-GB"/>
        </w:rPr>
        <w:t xml:space="preserve"> </w:t>
      </w:r>
      <w:r w:rsidRPr="007066B7">
        <w:rPr>
          <w:rFonts w:eastAsia="Times New Roman" w:cs="Arial"/>
          <w:b/>
          <w:lang w:eastAsia="en-GB"/>
        </w:rPr>
        <w:t>covering</w:t>
      </w:r>
      <w:r w:rsidRPr="007066B7">
        <w:rPr>
          <w:rFonts w:eastAsia="Times New Roman" w:cs="Arial"/>
          <w:b/>
          <w:lang w:eastAsia="en-GB"/>
        </w:rPr>
        <w:t xml:space="preserve"> the funding gap, and if this support had not been available then expenditure would have exceeded income by £8.504m. </w:t>
      </w:r>
    </w:p>
    <w:p w:rsidR="00E2507D" w:rsidRPr="00506BBC" w:rsidP="00E2507D">
      <w:pPr>
        <w:tabs>
          <w:tab w:val="left" w:pos="851"/>
          <w:tab w:val="left" w:pos="1418"/>
        </w:tabs>
        <w:spacing w:after="0"/>
        <w:rPr>
          <w:rFonts w:eastAsia="Times New Roman" w:cs="Arial"/>
          <w:highlight w:val="yellow"/>
          <w:lang w:eastAsia="en-GB"/>
        </w:rPr>
      </w:pPr>
    </w:p>
    <w:p w:rsidR="00E2507D" w:rsidRPr="009D7892" w:rsidP="00E2507D">
      <w:pPr>
        <w:tabs>
          <w:tab w:val="left" w:pos="851"/>
          <w:tab w:val="left" w:pos="1418"/>
        </w:tabs>
        <w:spacing w:after="0"/>
        <w:rPr>
          <w:rFonts w:eastAsia="Times New Roman" w:cs="Arial"/>
          <w:lang w:eastAsia="en-GB"/>
        </w:rPr>
      </w:pPr>
      <w:r w:rsidRPr="009D7892">
        <w:rPr>
          <w:rFonts w:eastAsia="Times New Roman" w:cs="Arial"/>
          <w:lang w:eastAsia="en-GB"/>
        </w:rPr>
        <w:t>The most significant areas of over and underspend in 2019/20 are as follows:</w:t>
      </w:r>
    </w:p>
    <w:p w:rsidR="00E2507D" w:rsidRPr="00506BBC" w:rsidP="00E2507D">
      <w:pPr>
        <w:tabs>
          <w:tab w:val="left" w:pos="851"/>
          <w:tab w:val="left" w:pos="1418"/>
        </w:tabs>
        <w:spacing w:after="0"/>
        <w:rPr>
          <w:rFonts w:eastAsia="Times New Roman" w:cs="Arial"/>
          <w:highlight w:val="yellow"/>
          <w:lang w:eastAsia="en-GB"/>
        </w:rPr>
      </w:pPr>
    </w:p>
    <w:p w:rsidR="00E2507D" w:rsidRPr="004F4826" w:rsidP="00E2507D">
      <w:pPr>
        <w:pStyle w:val="ListParagraph"/>
        <w:numPr>
          <w:ilvl w:val="0"/>
          <w:numId w:val="31"/>
        </w:numPr>
        <w:tabs>
          <w:tab w:val="left" w:pos="851"/>
          <w:tab w:val="left" w:pos="1418"/>
        </w:tabs>
        <w:spacing w:after="0"/>
        <w:rPr>
          <w:rFonts w:eastAsia="Times New Roman" w:cs="Arial"/>
          <w:lang w:eastAsia="en-GB"/>
        </w:rPr>
      </w:pPr>
      <w:r w:rsidRPr="004F4826">
        <w:rPr>
          <w:rFonts w:eastAsia="Times New Roman" w:cs="Arial"/>
          <w:lang w:eastAsia="en-GB"/>
        </w:rPr>
        <w:t>Adults Social Care Service</w:t>
      </w:r>
      <w:r>
        <w:rPr>
          <w:rFonts w:eastAsia="Times New Roman" w:cs="Arial"/>
          <w:lang w:eastAsia="en-GB"/>
        </w:rPr>
        <w:t>s</w:t>
      </w:r>
      <w:r w:rsidRPr="004F4826">
        <w:rPr>
          <w:rFonts w:eastAsia="Times New Roman" w:cs="Arial"/>
          <w:lang w:eastAsia="en-GB"/>
        </w:rPr>
        <w:t xml:space="preserve"> - </w:t>
      </w:r>
      <w:r w:rsidRPr="004F4826">
        <w:rPr>
          <w:rFonts w:eastAsia="Times New Roman" w:cs="Arial"/>
          <w:b/>
          <w:lang w:eastAsia="en-GB"/>
        </w:rPr>
        <w:t xml:space="preserve">£24.930m overspend </w:t>
      </w:r>
      <w:r w:rsidRPr="00711F8A">
        <w:rPr>
          <w:rFonts w:eastAsia="Times New Roman" w:cs="Arial"/>
          <w:lang w:eastAsia="en-GB"/>
        </w:rPr>
        <w:t>primarily</w:t>
      </w:r>
      <w:r>
        <w:rPr>
          <w:rFonts w:eastAsia="Times New Roman" w:cs="Arial"/>
          <w:b/>
          <w:lang w:eastAsia="en-GB"/>
        </w:rPr>
        <w:t xml:space="preserve"> </w:t>
      </w:r>
      <w:r w:rsidRPr="004F4826">
        <w:rPr>
          <w:rFonts w:eastAsia="Times New Roman" w:cs="Arial"/>
          <w:lang w:eastAsia="en-GB"/>
        </w:rPr>
        <w:t xml:space="preserve">as a result of under delivery of savings and </w:t>
      </w:r>
      <w:r>
        <w:rPr>
          <w:rFonts w:eastAsia="Times New Roman" w:cs="Arial"/>
          <w:lang w:eastAsia="en-GB"/>
        </w:rPr>
        <w:t>financial</w:t>
      </w:r>
      <w:r w:rsidRPr="004F4826">
        <w:rPr>
          <w:rFonts w:eastAsia="Times New Roman" w:cs="Arial"/>
          <w:lang w:eastAsia="en-GB"/>
        </w:rPr>
        <w:t xml:space="preserve"> support being provided to two of the local Clinical Commissioning Groups</w:t>
      </w:r>
      <w:r>
        <w:rPr>
          <w:rFonts w:eastAsia="Times New Roman" w:cs="Arial"/>
          <w:lang w:eastAsia="en-GB"/>
        </w:rPr>
        <w:t>.</w:t>
      </w:r>
    </w:p>
    <w:p w:rsidR="00E2507D" w:rsidP="00E2507D">
      <w:pPr>
        <w:pStyle w:val="ListParagraph"/>
        <w:tabs>
          <w:tab w:val="left" w:pos="851"/>
          <w:tab w:val="left" w:pos="1418"/>
        </w:tabs>
        <w:spacing w:after="0"/>
        <w:rPr>
          <w:rFonts w:eastAsia="Times New Roman" w:cs="Arial"/>
          <w:highlight w:val="yellow"/>
          <w:lang w:eastAsia="en-GB"/>
        </w:rPr>
      </w:pPr>
    </w:p>
    <w:p w:rsidR="00E2507D" w:rsidRPr="00790DBC" w:rsidP="00E2507D">
      <w:pPr>
        <w:pStyle w:val="ListParagraph"/>
        <w:numPr>
          <w:ilvl w:val="0"/>
          <w:numId w:val="31"/>
        </w:numPr>
        <w:tabs>
          <w:tab w:val="left" w:pos="851"/>
          <w:tab w:val="left" w:pos="1418"/>
        </w:tabs>
        <w:spacing w:after="0"/>
        <w:rPr>
          <w:rFonts w:eastAsia="Times New Roman" w:cs="Arial"/>
          <w:lang w:eastAsia="en-GB"/>
        </w:rPr>
      </w:pPr>
      <w:r w:rsidRPr="00790DBC">
        <w:rPr>
          <w:rFonts w:eastAsia="Times New Roman" w:cs="Arial"/>
          <w:lang w:eastAsia="en-GB"/>
        </w:rPr>
        <w:t xml:space="preserve">Highways and Transport – </w:t>
      </w:r>
      <w:r w:rsidRPr="00790DBC">
        <w:rPr>
          <w:rFonts w:eastAsia="Times New Roman" w:cs="Arial"/>
          <w:b/>
          <w:lang w:eastAsia="en-GB"/>
        </w:rPr>
        <w:t>£1.656m overspend</w:t>
      </w:r>
      <w:r w:rsidRPr="00790DBC">
        <w:rPr>
          <w:rFonts w:eastAsia="Times New Roman" w:cs="Arial"/>
          <w:lang w:eastAsia="en-GB"/>
        </w:rPr>
        <w:t xml:space="preserve"> as a result of additional demand and price inflation and lower than budgeted income</w:t>
      </w:r>
      <w:r>
        <w:rPr>
          <w:rFonts w:eastAsia="Times New Roman" w:cs="Arial"/>
          <w:lang w:eastAsia="en-GB"/>
        </w:rPr>
        <w:t>.</w:t>
      </w:r>
    </w:p>
    <w:p w:rsidR="00E2507D" w:rsidRPr="00506BBC" w:rsidP="00E2507D">
      <w:pPr>
        <w:pStyle w:val="ListParagraph"/>
        <w:tabs>
          <w:tab w:val="left" w:pos="851"/>
          <w:tab w:val="left" w:pos="1418"/>
        </w:tabs>
        <w:spacing w:after="0"/>
        <w:rPr>
          <w:rFonts w:eastAsia="Times New Roman" w:cs="Arial"/>
          <w:highlight w:val="yellow"/>
          <w:lang w:eastAsia="en-GB"/>
        </w:rPr>
      </w:pPr>
    </w:p>
    <w:p w:rsidR="00E2507D" w:rsidRPr="006D59F8" w:rsidP="00E2507D">
      <w:pPr>
        <w:pStyle w:val="ListParagraph"/>
        <w:numPr>
          <w:ilvl w:val="0"/>
          <w:numId w:val="31"/>
        </w:numPr>
        <w:tabs>
          <w:tab w:val="left" w:pos="851"/>
          <w:tab w:val="left" w:pos="1418"/>
        </w:tabs>
        <w:spacing w:after="0"/>
        <w:rPr>
          <w:rFonts w:eastAsia="Times New Roman" w:cs="Arial"/>
          <w:b/>
          <w:lang w:eastAsia="en-GB"/>
        </w:rPr>
      </w:pPr>
      <w:r w:rsidRPr="006D59F8">
        <w:rPr>
          <w:rFonts w:eastAsia="Times New Roman" w:cs="Arial"/>
          <w:lang w:eastAsia="en-GB"/>
        </w:rPr>
        <w:t>Strategy and Perfo</w:t>
      </w:r>
      <w:r>
        <w:rPr>
          <w:rFonts w:eastAsia="Times New Roman" w:cs="Arial"/>
          <w:lang w:eastAsia="en-GB"/>
        </w:rPr>
        <w:t>r</w:t>
      </w:r>
      <w:r w:rsidRPr="006D59F8">
        <w:rPr>
          <w:rFonts w:eastAsia="Times New Roman" w:cs="Arial"/>
          <w:lang w:eastAsia="en-GB"/>
        </w:rPr>
        <w:t xml:space="preserve">mance – </w:t>
      </w:r>
      <w:r w:rsidRPr="006D59F8">
        <w:rPr>
          <w:rFonts w:eastAsia="Times New Roman" w:cs="Arial"/>
          <w:b/>
          <w:lang w:eastAsia="en-GB"/>
        </w:rPr>
        <w:t>£2.505m overspend</w:t>
      </w:r>
      <w:r w:rsidRPr="006D59F8">
        <w:rPr>
          <w:rFonts w:eastAsia="Times New Roman" w:cs="Arial"/>
          <w:lang w:eastAsia="en-GB"/>
        </w:rPr>
        <w:t xml:space="preserve"> due to reduced income and higher costs predominantly in the school catering service.</w:t>
      </w:r>
    </w:p>
    <w:p w:rsidR="00E2507D" w:rsidRPr="00506BBC" w:rsidP="00E2507D">
      <w:pPr>
        <w:tabs>
          <w:tab w:val="left" w:pos="851"/>
          <w:tab w:val="left" w:pos="1418"/>
        </w:tabs>
        <w:spacing w:after="0"/>
        <w:rPr>
          <w:rFonts w:eastAsia="Times New Roman" w:cs="Arial"/>
          <w:b/>
          <w:highlight w:val="yellow"/>
          <w:lang w:eastAsia="en-GB"/>
        </w:rPr>
      </w:pPr>
    </w:p>
    <w:p w:rsidR="00E2507D" w:rsidRPr="006D59F8" w:rsidP="00E2507D">
      <w:pPr>
        <w:pStyle w:val="ListParagraph"/>
        <w:numPr>
          <w:ilvl w:val="0"/>
          <w:numId w:val="31"/>
        </w:numPr>
        <w:tabs>
          <w:tab w:val="left" w:pos="851"/>
          <w:tab w:val="left" w:pos="1418"/>
        </w:tabs>
        <w:spacing w:after="0"/>
        <w:rPr>
          <w:rFonts w:eastAsia="Times New Roman" w:cs="Arial"/>
          <w:lang w:eastAsia="en-GB"/>
        </w:rPr>
      </w:pPr>
      <w:r w:rsidRPr="006D59F8">
        <w:rPr>
          <w:rFonts w:eastAsia="Times New Roman" w:cs="Arial"/>
          <w:lang w:eastAsia="en-GB"/>
        </w:rPr>
        <w:t xml:space="preserve">Treasury Management - </w:t>
      </w:r>
      <w:r w:rsidRPr="006D59F8">
        <w:rPr>
          <w:rFonts w:eastAsia="Times New Roman" w:cs="Arial"/>
          <w:b/>
          <w:lang w:eastAsia="en-GB"/>
        </w:rPr>
        <w:t>£22.888</w:t>
      </w:r>
      <w:r>
        <w:rPr>
          <w:rFonts w:eastAsia="Times New Roman" w:cs="Arial"/>
          <w:b/>
          <w:lang w:eastAsia="en-GB"/>
        </w:rPr>
        <w:t>m underspend</w:t>
      </w:r>
      <w:r w:rsidRPr="006D59F8">
        <w:rPr>
          <w:rFonts w:eastAsia="Times New Roman" w:cs="Arial"/>
          <w:lang w:eastAsia="en-GB"/>
        </w:rPr>
        <w:t xml:space="preserve"> principally due to the sale of gilts and bonds. </w:t>
      </w:r>
    </w:p>
    <w:p w:rsidR="00E2507D" w:rsidRPr="006D59F8" w:rsidP="00E2507D">
      <w:pPr>
        <w:tabs>
          <w:tab w:val="left" w:pos="851"/>
          <w:tab w:val="left" w:pos="1418"/>
        </w:tabs>
        <w:spacing w:after="0"/>
        <w:rPr>
          <w:rFonts w:eastAsia="Times New Roman" w:cs="Arial"/>
          <w:lang w:eastAsia="en-GB"/>
        </w:rPr>
      </w:pPr>
    </w:p>
    <w:p w:rsidR="00E2507D" w:rsidRPr="006D59F8" w:rsidP="00E2507D">
      <w:pPr>
        <w:pStyle w:val="ListParagraph"/>
        <w:numPr>
          <w:ilvl w:val="0"/>
          <w:numId w:val="31"/>
        </w:numPr>
        <w:tabs>
          <w:tab w:val="left" w:pos="851"/>
          <w:tab w:val="left" w:pos="1418"/>
        </w:tabs>
        <w:spacing w:after="0"/>
        <w:rPr>
          <w:rFonts w:eastAsia="Times New Roman" w:cs="Arial"/>
          <w:lang w:eastAsia="en-GB"/>
        </w:rPr>
      </w:pPr>
      <w:r w:rsidRPr="006D59F8">
        <w:rPr>
          <w:rFonts w:eastAsia="Times New Roman" w:cs="Arial"/>
          <w:lang w:eastAsia="en-GB"/>
        </w:rPr>
        <w:t xml:space="preserve">Corporate Budget (Funding and Grants) - </w:t>
      </w:r>
      <w:r w:rsidRPr="006D59F8">
        <w:rPr>
          <w:rFonts w:eastAsia="Times New Roman" w:cs="Arial"/>
          <w:b/>
          <w:lang w:eastAsia="en-GB"/>
        </w:rPr>
        <w:t>£4.422m underspend</w:t>
      </w:r>
      <w:r w:rsidRPr="006D59F8">
        <w:rPr>
          <w:rFonts w:eastAsia="Times New Roman" w:cs="Arial"/>
          <w:lang w:eastAsia="en-GB"/>
        </w:rPr>
        <w:t xml:space="preserve"> due to a saving as a result of prepaying pension contributions.</w:t>
      </w:r>
    </w:p>
    <w:p w:rsidR="00E2507D" w:rsidRPr="00506BBC" w:rsidP="00E2507D">
      <w:pPr>
        <w:pStyle w:val="ListParagraph"/>
        <w:tabs>
          <w:tab w:val="left" w:pos="851"/>
          <w:tab w:val="left" w:pos="1418"/>
        </w:tabs>
        <w:spacing w:after="0"/>
        <w:rPr>
          <w:rFonts w:eastAsia="Times New Roman" w:cs="Arial"/>
          <w:b/>
          <w:highlight w:val="yellow"/>
          <w:lang w:eastAsia="en-GB"/>
        </w:rPr>
      </w:pPr>
    </w:p>
    <w:p w:rsidR="00E2507D" w:rsidRPr="00BA1C66" w:rsidP="00E2507D">
      <w:pPr>
        <w:tabs>
          <w:tab w:val="left" w:pos="851"/>
          <w:tab w:val="left" w:pos="1418"/>
        </w:tabs>
        <w:spacing w:after="0"/>
        <w:rPr>
          <w:rFonts w:eastAsia="Times New Roman" w:cs="Arial"/>
          <w:b/>
          <w:lang w:eastAsia="en-GB"/>
        </w:rPr>
      </w:pPr>
      <w:r w:rsidRPr="00BA1C66">
        <w:rPr>
          <w:rFonts w:eastAsia="Times New Roman" w:cs="Arial"/>
          <w:lang w:eastAsia="en-GB"/>
        </w:rPr>
        <w:t xml:space="preserve">The remaining </w:t>
      </w:r>
      <w:r w:rsidRPr="00BA1C66">
        <w:rPr>
          <w:rFonts w:eastAsia="Times New Roman" w:cs="Arial"/>
          <w:b/>
          <w:lang w:eastAsia="en-GB"/>
        </w:rPr>
        <w:t>underspend of £0.039m</w:t>
      </w:r>
      <w:r w:rsidRPr="00BA1C66">
        <w:rPr>
          <w:rFonts w:eastAsia="Times New Roman" w:cs="Arial"/>
          <w:lang w:eastAsia="en-GB"/>
        </w:rPr>
        <w:t xml:space="preserve"> was made across a number of services across the County Council. </w:t>
      </w:r>
    </w:p>
    <w:p w:rsidR="00E2507D" w:rsidRPr="00506BBC" w:rsidP="00E2507D">
      <w:pPr>
        <w:tabs>
          <w:tab w:val="left" w:pos="851"/>
          <w:tab w:val="left" w:pos="1418"/>
        </w:tabs>
        <w:spacing w:after="0"/>
        <w:rPr>
          <w:rFonts w:eastAsia="Times New Roman" w:cs="Arial"/>
          <w:b/>
          <w:highlight w:val="yellow"/>
          <w:lang w:eastAsia="en-GB"/>
        </w:rPr>
      </w:pPr>
    </w:p>
    <w:p w:rsidR="00E2507D" w:rsidRPr="009D7892" w:rsidP="00E2507D">
      <w:pPr>
        <w:tabs>
          <w:tab w:val="left" w:pos="851"/>
          <w:tab w:val="left" w:pos="1418"/>
        </w:tabs>
        <w:spacing w:after="0"/>
        <w:rPr>
          <w:rFonts w:eastAsia="Times New Roman" w:cs="Arial"/>
          <w:i/>
          <w:u w:val="single"/>
          <w:lang w:eastAsia="en-GB"/>
        </w:rPr>
      </w:pPr>
      <w:r w:rsidRPr="009D7892">
        <w:rPr>
          <w:rFonts w:eastAsia="Times New Roman" w:cs="Arial"/>
          <w:i/>
          <w:u w:val="single"/>
          <w:lang w:eastAsia="en-GB"/>
        </w:rPr>
        <w:t>2019/20 Revenue Reserves</w:t>
      </w:r>
    </w:p>
    <w:p w:rsidR="00E2507D" w:rsidRPr="00506BBC" w:rsidP="00E2507D">
      <w:pPr>
        <w:tabs>
          <w:tab w:val="left" w:pos="851"/>
          <w:tab w:val="left" w:pos="1418"/>
        </w:tabs>
        <w:spacing w:after="0"/>
        <w:rPr>
          <w:rFonts w:eastAsia="Times New Roman" w:cs="Arial"/>
          <w:i/>
          <w:highlight w:val="yellow"/>
          <w:u w:val="single"/>
          <w:lang w:eastAsia="en-GB"/>
        </w:rPr>
      </w:pPr>
    </w:p>
    <w:p w:rsidR="00E2507D" w:rsidRPr="00506BBC" w:rsidP="00E2507D">
      <w:pPr>
        <w:tabs>
          <w:tab w:val="left" w:pos="851"/>
          <w:tab w:val="left" w:pos="1418"/>
        </w:tabs>
        <w:spacing w:after="0"/>
        <w:rPr>
          <w:rFonts w:eastAsia="Times New Roman" w:cs="Arial"/>
          <w:highlight w:val="yellow"/>
          <w:lang w:eastAsia="en-GB"/>
        </w:rPr>
      </w:pPr>
      <w:r w:rsidRPr="009D7892">
        <w:rPr>
          <w:rFonts w:eastAsia="Times New Roman" w:cs="Arial"/>
          <w:lang w:eastAsia="en-GB"/>
        </w:rPr>
        <w:t xml:space="preserve">In the </w:t>
      </w:r>
      <w:r>
        <w:rPr>
          <w:rFonts w:eastAsia="Times New Roman" w:cs="Arial"/>
          <w:lang w:eastAsia="en-GB"/>
        </w:rPr>
        <w:t xml:space="preserve">budget </w:t>
      </w:r>
      <w:r w:rsidRPr="009D7892">
        <w:rPr>
          <w:rFonts w:eastAsia="Times New Roman" w:cs="Arial"/>
          <w:lang w:eastAsia="en-GB"/>
        </w:rPr>
        <w:t xml:space="preserve">report to </w:t>
      </w:r>
      <w:r w:rsidRPr="00FE6B21">
        <w:rPr>
          <w:rFonts w:eastAsia="Times New Roman" w:cs="Arial"/>
          <w:lang w:eastAsia="en-GB"/>
        </w:rPr>
        <w:t xml:space="preserve">Full Council </w:t>
      </w:r>
      <w:r w:rsidRPr="009D7892">
        <w:rPr>
          <w:rFonts w:eastAsia="Times New Roman" w:cs="Arial"/>
          <w:lang w:eastAsia="en-GB"/>
        </w:rPr>
        <w:t>in February 2020 details were provided of the reserves position and the ability to support the revenue budget in future years whilst working towards a sustainable financial position. This indicated that there would be sufficient funds remaining in reser</w:t>
      </w:r>
      <w:r>
        <w:rPr>
          <w:rFonts w:eastAsia="Times New Roman" w:cs="Arial"/>
          <w:lang w:eastAsia="en-GB"/>
        </w:rPr>
        <w:t>ves to support the budge</w:t>
      </w:r>
      <w:r w:rsidRPr="00FE6B21">
        <w:rPr>
          <w:rFonts w:eastAsia="Times New Roman" w:cs="Arial"/>
          <w:lang w:eastAsia="en-GB"/>
        </w:rPr>
        <w:t>t</w:t>
      </w:r>
      <w:r>
        <w:rPr>
          <w:rFonts w:eastAsia="Times New Roman" w:cs="Arial"/>
          <w:lang w:eastAsia="en-GB"/>
        </w:rPr>
        <w:t xml:space="preserve"> beyond the MTFS</w:t>
      </w:r>
      <w:r w:rsidRPr="00FE6B21">
        <w:rPr>
          <w:rFonts w:eastAsia="Times New Roman" w:cs="Arial"/>
          <w:lang w:eastAsia="en-GB"/>
        </w:rPr>
        <w:t xml:space="preserve"> </w:t>
      </w:r>
      <w:r>
        <w:rPr>
          <w:rFonts w:eastAsia="Times New Roman" w:cs="Arial"/>
          <w:lang w:eastAsia="en-GB"/>
        </w:rPr>
        <w:t>period ending 2023/24</w:t>
      </w:r>
      <w:r w:rsidRPr="00FE6B21">
        <w:rPr>
          <w:rFonts w:eastAsia="Times New Roman" w:cs="Arial"/>
          <w:lang w:eastAsia="en-GB"/>
        </w:rPr>
        <w:t>.</w:t>
      </w:r>
      <w:r>
        <w:rPr>
          <w:rFonts w:eastAsia="Times New Roman" w:cs="Arial"/>
          <w:lang w:eastAsia="en-GB"/>
        </w:rPr>
        <w:t xml:space="preserve"> The impact of the Covid-19 pandemic on the costs and funding for the authority remain fluid at the time of writing and could have an impact on the sufficiency of reserves in the medium term.</w:t>
      </w:r>
      <w:r w:rsidRPr="00FE6B21">
        <w:rPr>
          <w:rFonts w:eastAsia="Times New Roman" w:cs="Arial"/>
          <w:lang w:eastAsia="en-GB"/>
        </w:rPr>
        <w:t xml:space="preserve"> </w:t>
      </w:r>
    </w:p>
    <w:p w:rsidR="00E2507D" w:rsidRPr="00506BBC" w:rsidP="00E2507D">
      <w:pPr>
        <w:tabs>
          <w:tab w:val="left" w:pos="851"/>
          <w:tab w:val="left" w:pos="1418"/>
        </w:tabs>
        <w:spacing w:after="0"/>
        <w:rPr>
          <w:rFonts w:eastAsia="Times New Roman" w:cs="Arial"/>
          <w:highlight w:val="yellow"/>
          <w:lang w:eastAsia="en-GB"/>
        </w:rPr>
      </w:pPr>
    </w:p>
    <w:p w:rsidR="00E2507D" w:rsidP="00E2507D">
      <w:pPr>
        <w:tabs>
          <w:tab w:val="left" w:pos="851"/>
          <w:tab w:val="left" w:pos="1418"/>
        </w:tabs>
        <w:spacing w:after="0"/>
        <w:rPr>
          <w:rFonts w:eastAsia="Times New Roman" w:cs="Arial"/>
          <w:highlight w:val="yellow"/>
          <w:lang w:eastAsia="en-GB"/>
        </w:rPr>
      </w:pPr>
      <w:r w:rsidRPr="00FE6B21">
        <w:rPr>
          <w:rFonts w:eastAsia="Times New Roman" w:cs="Arial"/>
          <w:lang w:eastAsia="en-GB"/>
        </w:rPr>
        <w:t xml:space="preserve">At the end of the financial year, a combination of the revenue </w:t>
      </w:r>
      <w:r w:rsidRPr="00AC2E0F">
        <w:rPr>
          <w:rFonts w:eastAsia="Times New Roman" w:cs="Arial"/>
          <w:lang w:eastAsia="en-GB"/>
        </w:rPr>
        <w:t xml:space="preserve">underspend, a reduced expenditure from reserves and also the transfer of funds that are no longer required from other reserves has led to an improved position with £151.199m being available </w:t>
      </w:r>
      <w:r w:rsidRPr="003E06F2">
        <w:rPr>
          <w:rFonts w:eastAsia="Times New Roman" w:cs="Arial"/>
          <w:lang w:eastAsia="en-GB"/>
        </w:rPr>
        <w:t>in the transitional reserve at the end of 2019/20 for future years; a positive variance of £3.401m. Currently no support is fo</w:t>
      </w:r>
      <w:r>
        <w:rPr>
          <w:rFonts w:eastAsia="Times New Roman" w:cs="Arial"/>
          <w:lang w:eastAsia="en-GB"/>
        </w:rPr>
        <w:t xml:space="preserve">recast from reserves for </w:t>
      </w:r>
      <w:r w:rsidRPr="003E06F2">
        <w:rPr>
          <w:rFonts w:eastAsia="Times New Roman" w:cs="Arial"/>
          <w:lang w:eastAsia="en-GB"/>
        </w:rPr>
        <w:t xml:space="preserve">the 2020/21 budget, </w:t>
      </w:r>
      <w:r w:rsidRPr="003E06F2">
        <w:rPr>
          <w:rFonts w:eastAsia="Times New Roman" w:cs="Arial"/>
          <w:lang w:eastAsia="en-GB"/>
        </w:rPr>
        <w:t>and followi</w:t>
      </w:r>
      <w:r>
        <w:rPr>
          <w:rFonts w:eastAsia="Times New Roman" w:cs="Arial"/>
          <w:lang w:eastAsia="en-GB"/>
        </w:rPr>
        <w:t>ng</w:t>
      </w:r>
      <w:r w:rsidRPr="003E06F2">
        <w:rPr>
          <w:rFonts w:eastAsia="Times New Roman" w:cs="Arial"/>
          <w:lang w:eastAsia="en-GB"/>
        </w:rPr>
        <w:t xml:space="preserve"> commitments of £2.895m this leaves a forecast of £149.662m available to support the financial gap in 2021/22 and beyond. However, this could vary dependent upon the impacts of the Coronavirus emergency on the council's </w:t>
      </w:r>
      <w:r>
        <w:rPr>
          <w:rFonts w:eastAsia="Times New Roman" w:cs="Arial"/>
          <w:lang w:eastAsia="en-GB"/>
        </w:rPr>
        <w:t xml:space="preserve">current and ongoing income and expenditure and the level of additional funding provided by </w:t>
      </w:r>
      <w:r w:rsidRPr="003E06F2">
        <w:rPr>
          <w:rFonts w:eastAsia="Times New Roman" w:cs="Arial"/>
          <w:lang w:eastAsia="en-GB"/>
        </w:rPr>
        <w:t>central government</w:t>
      </w:r>
      <w:r>
        <w:rPr>
          <w:rFonts w:eastAsia="Times New Roman" w:cs="Arial"/>
          <w:lang w:eastAsia="en-GB"/>
        </w:rPr>
        <w:t xml:space="preserve">. Further uncertainty remains around </w:t>
      </w:r>
      <w:r w:rsidRPr="003E06F2">
        <w:rPr>
          <w:rFonts w:eastAsia="Times New Roman" w:cs="Arial"/>
          <w:lang w:eastAsia="en-GB"/>
        </w:rPr>
        <w:t xml:space="preserve">the </w:t>
      </w:r>
      <w:r>
        <w:rPr>
          <w:rFonts w:eastAsia="Times New Roman" w:cs="Arial"/>
          <w:lang w:eastAsia="en-GB"/>
        </w:rPr>
        <w:t xml:space="preserve">likely </w:t>
      </w:r>
      <w:r w:rsidRPr="003E06F2">
        <w:rPr>
          <w:rFonts w:eastAsia="Times New Roman" w:cs="Arial"/>
          <w:lang w:eastAsia="en-GB"/>
        </w:rPr>
        <w:t>outcome of the Fair Funding Review and Business Baseline Reset which have been delayed for a further year</w:t>
      </w:r>
      <w:r>
        <w:rPr>
          <w:rFonts w:eastAsia="Times New Roman" w:cs="Arial"/>
          <w:lang w:eastAsia="en-GB"/>
        </w:rPr>
        <w:t xml:space="preserve"> until 2022/23</w:t>
      </w:r>
      <w:r w:rsidRPr="003E06F2">
        <w:rPr>
          <w:rFonts w:eastAsia="Times New Roman" w:cs="Arial"/>
          <w:lang w:eastAsia="en-GB"/>
        </w:rPr>
        <w:t>.</w:t>
      </w:r>
    </w:p>
    <w:p w:rsidR="00E2507D" w:rsidRPr="00506BBC" w:rsidP="00E2507D">
      <w:pPr>
        <w:tabs>
          <w:tab w:val="left" w:pos="851"/>
          <w:tab w:val="left" w:pos="1418"/>
        </w:tabs>
        <w:spacing w:after="0"/>
        <w:rPr>
          <w:rFonts w:eastAsia="Times New Roman" w:cs="Arial"/>
          <w:i/>
          <w:highlight w:val="yellow"/>
          <w:u w:val="single"/>
          <w:lang w:eastAsia="en-GB"/>
        </w:rPr>
      </w:pPr>
    </w:p>
    <w:p w:rsidR="00E2507D" w:rsidRPr="009D7892" w:rsidP="00E2507D">
      <w:pPr>
        <w:tabs>
          <w:tab w:val="left" w:pos="851"/>
          <w:tab w:val="left" w:pos="1418"/>
        </w:tabs>
        <w:spacing w:after="0"/>
        <w:rPr>
          <w:rFonts w:eastAsia="Times New Roman" w:cs="Arial"/>
          <w:i/>
          <w:u w:val="single"/>
          <w:lang w:eastAsia="en-GB"/>
        </w:rPr>
      </w:pPr>
      <w:r w:rsidRPr="009D7892">
        <w:rPr>
          <w:rFonts w:eastAsia="Times New Roman" w:cs="Arial"/>
          <w:i/>
          <w:u w:val="single"/>
          <w:lang w:eastAsia="en-GB"/>
        </w:rPr>
        <w:t>2019/20 Capital Programme</w:t>
      </w:r>
    </w:p>
    <w:p w:rsidR="00E2507D" w:rsidRPr="00506BBC" w:rsidP="00E2507D">
      <w:pPr>
        <w:tabs>
          <w:tab w:val="left" w:pos="851"/>
          <w:tab w:val="left" w:pos="1418"/>
        </w:tabs>
        <w:spacing w:after="0"/>
        <w:rPr>
          <w:rFonts w:eastAsia="Times New Roman" w:cs="Arial"/>
          <w:i/>
          <w:highlight w:val="yellow"/>
          <w:u w:val="single"/>
          <w:lang w:eastAsia="en-GB"/>
        </w:rPr>
      </w:pPr>
    </w:p>
    <w:p w:rsidR="00E2507D" w:rsidRPr="008A50FB" w:rsidP="00E2507D">
      <w:pPr>
        <w:tabs>
          <w:tab w:val="left" w:pos="851"/>
          <w:tab w:val="left" w:pos="1418"/>
        </w:tabs>
        <w:spacing w:after="0"/>
        <w:rPr>
          <w:rFonts w:eastAsia="Times New Roman" w:cs="Arial"/>
          <w:lang w:eastAsia="en-GB"/>
        </w:rPr>
      </w:pPr>
      <w:r w:rsidRPr="009D7892">
        <w:rPr>
          <w:rFonts w:eastAsia="Times New Roman" w:cs="Arial"/>
          <w:lang w:eastAsia="en-GB"/>
        </w:rPr>
        <w:t xml:space="preserve">The capital programme for 2019/20 totalled </w:t>
      </w:r>
      <w:r w:rsidRPr="004E1074">
        <w:rPr>
          <w:rFonts w:eastAsia="Times New Roman" w:cs="Arial"/>
          <w:lang w:eastAsia="en-GB"/>
        </w:rPr>
        <w:t xml:space="preserve">£124.886m </w:t>
      </w:r>
      <w:r w:rsidRPr="009D7892">
        <w:rPr>
          <w:rFonts w:eastAsia="Times New Roman" w:cs="Arial"/>
          <w:lang w:eastAsia="en-GB"/>
        </w:rPr>
        <w:t xml:space="preserve">with the programme delivering an outturn position </w:t>
      </w:r>
      <w:r w:rsidRPr="004E1074">
        <w:rPr>
          <w:rFonts w:eastAsia="Times New Roman" w:cs="Arial"/>
          <w:lang w:eastAsia="en-GB"/>
        </w:rPr>
        <w:t>of £121.382m, resulting</w:t>
      </w:r>
      <w:r>
        <w:rPr>
          <w:rFonts w:eastAsia="Times New Roman" w:cs="Arial"/>
          <w:lang w:eastAsia="en-GB"/>
        </w:rPr>
        <w:t xml:space="preserve"> in an underspend against</w:t>
      </w:r>
      <w:r w:rsidRPr="009D7892">
        <w:rPr>
          <w:rFonts w:eastAsia="Times New Roman" w:cs="Arial"/>
          <w:lang w:eastAsia="en-GB"/>
        </w:rPr>
        <w:t xml:space="preserve"> budget of</w:t>
      </w:r>
      <w:r>
        <w:rPr>
          <w:rFonts w:eastAsia="Times New Roman" w:cs="Arial"/>
          <w:lang w:eastAsia="en-GB"/>
        </w:rPr>
        <w:t xml:space="preserve"> </w:t>
      </w:r>
      <w:r w:rsidRPr="008A50FB">
        <w:rPr>
          <w:rFonts w:eastAsia="Times New Roman" w:cs="Arial"/>
          <w:lang w:eastAsia="en-GB"/>
        </w:rPr>
        <w:t xml:space="preserve">£3.504m. </w:t>
      </w:r>
    </w:p>
    <w:p w:rsidR="00E2507D" w:rsidRPr="008A50FB" w:rsidP="00E2507D">
      <w:pPr>
        <w:tabs>
          <w:tab w:val="left" w:pos="851"/>
          <w:tab w:val="left" w:pos="1418"/>
        </w:tabs>
        <w:spacing w:after="0"/>
        <w:rPr>
          <w:rFonts w:eastAsia="Times New Roman" w:cs="Arial"/>
          <w:lang w:eastAsia="en-GB"/>
        </w:rPr>
      </w:pPr>
    </w:p>
    <w:p w:rsidR="00E2507D" w:rsidRPr="008A50FB" w:rsidP="00E2507D">
      <w:pPr>
        <w:tabs>
          <w:tab w:val="left" w:pos="851"/>
          <w:tab w:val="left" w:pos="1418"/>
        </w:tabs>
        <w:spacing w:after="0"/>
        <w:rPr>
          <w:rFonts w:eastAsia="Times New Roman" w:cs="Arial"/>
          <w:lang w:eastAsia="en-GB"/>
        </w:rPr>
      </w:pPr>
      <w:r>
        <w:rPr>
          <w:rFonts w:eastAsia="Times New Roman" w:cs="Arial"/>
          <w:lang w:eastAsia="en-GB"/>
        </w:rPr>
        <w:t xml:space="preserve">The variance </w:t>
      </w:r>
      <w:r w:rsidRPr="008A50FB">
        <w:rPr>
          <w:rFonts w:eastAsia="Times New Roman" w:cs="Arial"/>
          <w:lang w:eastAsia="en-GB"/>
        </w:rPr>
        <w:t>is due to the following:</w:t>
      </w:r>
    </w:p>
    <w:p w:rsidR="00E2507D" w:rsidP="00E2507D">
      <w:pPr>
        <w:pStyle w:val="ListParagraph"/>
        <w:tabs>
          <w:tab w:val="left" w:pos="851"/>
          <w:tab w:val="left" w:pos="1418"/>
        </w:tabs>
        <w:spacing w:after="0"/>
        <w:ind w:left="780"/>
        <w:rPr>
          <w:rFonts w:eastAsia="Times New Roman" w:cs="Arial"/>
          <w:lang w:eastAsia="en-GB"/>
        </w:rPr>
      </w:pPr>
    </w:p>
    <w:p w:rsidR="00E2507D" w:rsidRPr="008A50FB" w:rsidP="00E2507D">
      <w:pPr>
        <w:pStyle w:val="ListParagraph"/>
        <w:numPr>
          <w:ilvl w:val="0"/>
          <w:numId w:val="32"/>
        </w:numPr>
        <w:tabs>
          <w:tab w:val="left" w:pos="851"/>
          <w:tab w:val="left" w:pos="1418"/>
        </w:tabs>
        <w:spacing w:after="0"/>
        <w:rPr>
          <w:rFonts w:eastAsia="Times New Roman" w:cs="Arial"/>
          <w:lang w:eastAsia="en-GB"/>
        </w:rPr>
      </w:pPr>
      <w:r w:rsidRPr="008A50FB">
        <w:rPr>
          <w:rFonts w:eastAsia="Times New Roman" w:cs="Arial"/>
          <w:lang w:eastAsia="en-GB"/>
        </w:rPr>
        <w:t>Net unders</w:t>
      </w:r>
      <w:r>
        <w:rPr>
          <w:rFonts w:eastAsia="Times New Roman" w:cs="Arial"/>
          <w:lang w:eastAsia="en-GB"/>
        </w:rPr>
        <w:t xml:space="preserve">pends on completed projects </w:t>
      </w:r>
      <w:r>
        <w:rPr>
          <w:rFonts w:eastAsia="Times New Roman" w:cs="Arial"/>
          <w:lang w:eastAsia="en-GB"/>
        </w:rPr>
        <w:tab/>
      </w:r>
      <w:r>
        <w:rPr>
          <w:rFonts w:eastAsia="Times New Roman" w:cs="Arial"/>
          <w:lang w:eastAsia="en-GB"/>
        </w:rPr>
        <w:tab/>
      </w:r>
      <w:r w:rsidRPr="008A50FB">
        <w:rPr>
          <w:rFonts w:eastAsia="Times New Roman" w:cs="Arial"/>
          <w:lang w:eastAsia="en-GB"/>
        </w:rPr>
        <w:t xml:space="preserve">£1.790m </w:t>
      </w:r>
    </w:p>
    <w:p w:rsidR="00E2507D" w:rsidRPr="008A50FB" w:rsidP="00E2507D">
      <w:pPr>
        <w:pStyle w:val="ListParagraph"/>
        <w:numPr>
          <w:ilvl w:val="0"/>
          <w:numId w:val="32"/>
        </w:numPr>
        <w:tabs>
          <w:tab w:val="left" w:pos="851"/>
          <w:tab w:val="left" w:pos="1418"/>
        </w:tabs>
        <w:spacing w:after="0"/>
        <w:rPr>
          <w:rFonts w:eastAsia="Times New Roman" w:cs="Arial"/>
          <w:lang w:eastAsia="en-GB"/>
        </w:rPr>
      </w:pPr>
      <w:r w:rsidRPr="008A50FB">
        <w:rPr>
          <w:rFonts w:eastAsia="Times New Roman" w:cs="Arial"/>
          <w:lang w:eastAsia="en-GB"/>
        </w:rPr>
        <w:t xml:space="preserve">Net overspends on completed projects  </w:t>
      </w:r>
      <w:r>
        <w:rPr>
          <w:rFonts w:eastAsia="Times New Roman" w:cs="Arial"/>
          <w:lang w:eastAsia="en-GB"/>
        </w:rPr>
        <w:tab/>
      </w:r>
      <w:r>
        <w:rPr>
          <w:rFonts w:eastAsia="Times New Roman" w:cs="Arial"/>
          <w:lang w:eastAsia="en-GB"/>
        </w:rPr>
        <w:tab/>
      </w:r>
      <w:r>
        <w:rPr>
          <w:rFonts w:eastAsia="Times New Roman" w:cs="Arial"/>
          <w:lang w:eastAsia="en-GB"/>
        </w:rPr>
        <w:tab/>
      </w:r>
      <w:r w:rsidRPr="008A50FB">
        <w:rPr>
          <w:rFonts w:eastAsia="Times New Roman" w:cs="Arial"/>
          <w:lang w:eastAsia="en-GB"/>
        </w:rPr>
        <w:t xml:space="preserve">£2.881m </w:t>
      </w:r>
    </w:p>
    <w:p w:rsidR="00E2507D" w:rsidRPr="008A50FB" w:rsidP="00E2507D">
      <w:pPr>
        <w:pStyle w:val="ListParagraph"/>
        <w:numPr>
          <w:ilvl w:val="0"/>
          <w:numId w:val="32"/>
        </w:numPr>
        <w:tabs>
          <w:tab w:val="left" w:pos="851"/>
          <w:tab w:val="left" w:pos="1418"/>
        </w:tabs>
        <w:spacing w:after="0"/>
        <w:rPr>
          <w:rFonts w:eastAsia="Times New Roman" w:cs="Arial"/>
          <w:lang w:eastAsia="en-GB"/>
        </w:rPr>
      </w:pPr>
      <w:r w:rsidRPr="008A50FB">
        <w:rPr>
          <w:rFonts w:eastAsia="Times New Roman" w:cs="Arial"/>
          <w:lang w:eastAsia="en-GB"/>
        </w:rPr>
        <w:t>Delivery delays and adva</w:t>
      </w:r>
      <w:r>
        <w:rPr>
          <w:rFonts w:eastAsia="Times New Roman" w:cs="Arial"/>
          <w:lang w:eastAsia="en-GB"/>
        </w:rPr>
        <w:t>nce delivery (net position)</w:t>
      </w:r>
      <w:r w:rsidRPr="008A50FB">
        <w:rPr>
          <w:rFonts w:eastAsia="Times New Roman" w:cs="Arial"/>
          <w:lang w:eastAsia="en-GB"/>
        </w:rPr>
        <w:t xml:space="preserve"> </w:t>
      </w:r>
      <w:r>
        <w:rPr>
          <w:rFonts w:eastAsia="Times New Roman" w:cs="Arial"/>
          <w:lang w:eastAsia="en-GB"/>
        </w:rPr>
        <w:tab/>
      </w:r>
      <w:r w:rsidRPr="008A50FB">
        <w:rPr>
          <w:rFonts w:eastAsia="Times New Roman" w:cs="Arial"/>
          <w:lang w:eastAsia="en-GB"/>
        </w:rPr>
        <w:t xml:space="preserve">£4.595m  </w:t>
      </w:r>
    </w:p>
    <w:p w:rsidR="00E2507D" w:rsidRPr="00506BBC" w:rsidP="00E2507D">
      <w:pPr>
        <w:tabs>
          <w:tab w:val="left" w:pos="851"/>
          <w:tab w:val="left" w:pos="1418"/>
        </w:tabs>
        <w:spacing w:after="0"/>
        <w:rPr>
          <w:rFonts w:eastAsia="Times New Roman" w:cs="Arial"/>
          <w:highlight w:val="yellow"/>
          <w:lang w:eastAsia="en-GB"/>
        </w:rPr>
      </w:pPr>
    </w:p>
    <w:p w:rsidR="00E2507D" w:rsidRPr="00665F2E" w:rsidP="00E2507D">
      <w:pPr>
        <w:tabs>
          <w:tab w:val="left" w:pos="851"/>
          <w:tab w:val="left" w:pos="1418"/>
        </w:tabs>
        <w:spacing w:after="0"/>
        <w:rPr>
          <w:rFonts w:eastAsia="Times New Roman" w:cs="Arial"/>
          <w:lang w:eastAsia="en-GB"/>
        </w:rPr>
      </w:pPr>
      <w:r w:rsidRPr="00665F2E">
        <w:rPr>
          <w:rFonts w:eastAsia="Times New Roman" w:cs="Arial"/>
          <w:lang w:eastAsia="en-GB"/>
        </w:rPr>
        <w:t>The slipped delivery is a mixture of financial delays e.g.</w:t>
      </w:r>
      <w:r>
        <w:rPr>
          <w:rFonts w:eastAsia="Times New Roman" w:cs="Arial"/>
          <w:lang w:eastAsia="en-GB"/>
        </w:rPr>
        <w:t xml:space="preserve"> for retention amounts </w:t>
      </w:r>
      <w:r w:rsidRPr="00665F2E">
        <w:rPr>
          <w:rFonts w:eastAsia="Times New Roman" w:cs="Arial"/>
          <w:lang w:eastAsia="en-GB"/>
        </w:rPr>
        <w:t>where the project is complete; delays due to changes to the work programmed</w:t>
      </w:r>
      <w:r>
        <w:rPr>
          <w:rFonts w:eastAsia="Times New Roman" w:cs="Arial"/>
          <w:lang w:eastAsia="en-GB"/>
        </w:rPr>
        <w:t>,</w:t>
      </w:r>
      <w:r w:rsidRPr="00665F2E">
        <w:rPr>
          <w:rFonts w:eastAsia="Times New Roman" w:cs="Arial"/>
          <w:lang w:eastAsia="en-GB"/>
        </w:rPr>
        <w:t xml:space="preserve"> and delays due to adverse weather and the Coronavirus pandemic </w:t>
      </w:r>
      <w:r>
        <w:rPr>
          <w:rFonts w:eastAsia="Times New Roman" w:cs="Arial"/>
          <w:lang w:eastAsia="en-GB"/>
        </w:rPr>
        <w:t xml:space="preserve">which affected the </w:t>
      </w:r>
      <w:r w:rsidRPr="00665F2E">
        <w:rPr>
          <w:rFonts w:eastAsia="Times New Roman" w:cs="Arial"/>
          <w:lang w:eastAsia="en-GB"/>
        </w:rPr>
        <w:t xml:space="preserve">completion or commencement of </w:t>
      </w:r>
      <w:r>
        <w:rPr>
          <w:rFonts w:eastAsia="Times New Roman" w:cs="Arial"/>
          <w:lang w:eastAsia="en-GB"/>
        </w:rPr>
        <w:t xml:space="preserve">some </w:t>
      </w:r>
      <w:r w:rsidRPr="00665F2E">
        <w:rPr>
          <w:rFonts w:eastAsia="Times New Roman" w:cs="Arial"/>
          <w:lang w:eastAsia="en-GB"/>
        </w:rPr>
        <w:t xml:space="preserve">projects.  </w:t>
      </w:r>
    </w:p>
    <w:p w:rsidR="00E2507D" w:rsidRPr="00506BBC" w:rsidP="00E2507D">
      <w:pPr>
        <w:tabs>
          <w:tab w:val="left" w:pos="851"/>
          <w:tab w:val="left" w:pos="1418"/>
        </w:tabs>
        <w:spacing w:after="0"/>
        <w:rPr>
          <w:rFonts w:eastAsia="Times New Roman" w:cs="Arial"/>
          <w:highlight w:val="yellow"/>
          <w:lang w:eastAsia="en-GB"/>
        </w:rPr>
      </w:pPr>
    </w:p>
    <w:p w:rsidR="00E2507D" w:rsidRPr="00665F2E" w:rsidP="00E2507D">
      <w:pPr>
        <w:spacing w:after="0"/>
        <w:rPr>
          <w:rFonts w:eastAsia="Times New Roman" w:cs="Arial"/>
          <w:lang w:eastAsia="en-GB"/>
        </w:rPr>
      </w:pPr>
      <w:r w:rsidRPr="00665F2E">
        <w:rPr>
          <w:rFonts w:eastAsia="Times New Roman" w:cs="Arial"/>
          <w:lang w:eastAsia="en-GB"/>
        </w:rPr>
        <w:t xml:space="preserve">During the first 3 months of 2020/21 a comprehensive review of the delivery programme for 2020/21 </w:t>
      </w:r>
      <w:r>
        <w:rPr>
          <w:rFonts w:eastAsia="Times New Roman" w:cs="Arial"/>
          <w:lang w:eastAsia="en-GB"/>
        </w:rPr>
        <w:t xml:space="preserve">is </w:t>
      </w:r>
      <w:r>
        <w:rPr>
          <w:rFonts w:eastAsia="Times New Roman" w:cs="Arial"/>
          <w:lang w:eastAsia="en-GB"/>
        </w:rPr>
        <w:t xml:space="preserve">being </w:t>
      </w:r>
      <w:r w:rsidRPr="00665F2E">
        <w:rPr>
          <w:rFonts w:eastAsia="Times New Roman" w:cs="Arial"/>
          <w:lang w:eastAsia="en-GB"/>
        </w:rPr>
        <w:t xml:space="preserve"> undertaken</w:t>
      </w:r>
      <w:r w:rsidRPr="00665F2E">
        <w:rPr>
          <w:rFonts w:eastAsia="Times New Roman" w:cs="Arial"/>
          <w:lang w:eastAsia="en-GB"/>
        </w:rPr>
        <w:t xml:space="preserve"> in light of the outturn position and any proposed changes to the 2020/21 delivery programme reported back to cabinet as part of the regular money matters reports. </w:t>
      </w:r>
    </w:p>
    <w:p w:rsidR="00E2507D" w:rsidRPr="00506BBC" w:rsidP="00E2507D">
      <w:pPr>
        <w:spacing w:after="0"/>
        <w:rPr>
          <w:rFonts w:eastAsia="Times New Roman" w:cs="Arial"/>
          <w:highlight w:val="yellow"/>
          <w:lang w:eastAsia="en-GB"/>
        </w:rPr>
      </w:pPr>
    </w:p>
    <w:p w:rsidR="00E2507D" w:rsidRPr="00506BBC" w:rsidP="00E2507D">
      <w:pPr>
        <w:spacing w:after="0"/>
        <w:rPr>
          <w:rFonts w:eastAsia="Times New Roman" w:cs="Arial"/>
          <w:highlight w:val="yellow"/>
          <w:lang w:eastAsia="en-GB"/>
        </w:rPr>
      </w:pPr>
    </w:p>
    <w:p w:rsidR="00E2507D" w:rsidRPr="00506BBC" w:rsidP="00E2507D">
      <w:pPr>
        <w:spacing w:after="0"/>
        <w:rPr>
          <w:rFonts w:eastAsia="Times New Roman" w:cs="Arial"/>
          <w:highlight w:val="yellow"/>
          <w:lang w:eastAsia="en-GB"/>
        </w:rPr>
      </w:pPr>
    </w:p>
    <w:p w:rsidR="00E2507D" w:rsidRPr="00506BBC" w:rsidP="00E2507D">
      <w:pPr>
        <w:spacing w:after="0"/>
        <w:rPr>
          <w:rFonts w:eastAsia="Times New Roman" w:cs="Arial"/>
          <w:highlight w:val="yellow"/>
          <w:lang w:eastAsia="en-GB"/>
        </w:rPr>
      </w:pPr>
    </w:p>
    <w:p w:rsidR="00E2507D" w:rsidRPr="00506BBC" w:rsidP="00E2507D">
      <w:pPr>
        <w:spacing w:after="0"/>
        <w:rPr>
          <w:rFonts w:eastAsia="Times New Roman" w:cs="Arial"/>
          <w:highlight w:val="yellow"/>
          <w:lang w:eastAsia="en-GB"/>
        </w:rPr>
      </w:pPr>
    </w:p>
    <w:p w:rsidR="00E2507D" w:rsidRPr="00506BBC" w:rsidP="00E2507D">
      <w:pPr>
        <w:spacing w:after="0"/>
        <w:rPr>
          <w:rFonts w:eastAsia="Times New Roman" w:cs="Arial"/>
          <w:highlight w:val="yellow"/>
          <w:lang w:eastAsia="en-GB"/>
        </w:rPr>
      </w:pPr>
    </w:p>
    <w:p w:rsidR="00E2507D" w:rsidRPr="00506BBC" w:rsidP="00E2507D">
      <w:pPr>
        <w:spacing w:after="0"/>
        <w:rPr>
          <w:rFonts w:eastAsia="Times New Roman" w:cs="Arial"/>
          <w:highlight w:val="yellow"/>
          <w:lang w:eastAsia="en-GB"/>
        </w:rPr>
      </w:pPr>
    </w:p>
    <w:p w:rsidR="00E2507D" w:rsidRPr="00506BBC" w:rsidP="00E2507D">
      <w:pPr>
        <w:spacing w:after="0"/>
        <w:rPr>
          <w:rFonts w:eastAsia="Times New Roman" w:cs="Arial"/>
          <w:highlight w:val="yellow"/>
          <w:lang w:eastAsia="en-GB"/>
        </w:rPr>
      </w:pPr>
    </w:p>
    <w:p w:rsidR="00E2507D" w:rsidRPr="00506BBC" w:rsidP="00E2507D">
      <w:pPr>
        <w:spacing w:after="0"/>
        <w:rPr>
          <w:rFonts w:eastAsia="Times New Roman" w:cs="Arial"/>
          <w:highlight w:val="yellow"/>
          <w:lang w:eastAsia="en-GB"/>
        </w:rPr>
      </w:pPr>
    </w:p>
    <w:p w:rsidR="00E2507D" w:rsidRPr="00506BBC" w:rsidP="00E2507D">
      <w:pPr>
        <w:spacing w:after="0"/>
        <w:rPr>
          <w:rFonts w:eastAsia="Times New Roman" w:cs="Arial"/>
          <w:highlight w:val="yellow"/>
          <w:lang w:eastAsia="en-GB"/>
        </w:rPr>
      </w:pPr>
    </w:p>
    <w:p w:rsidR="00E2507D" w:rsidRPr="00506BBC" w:rsidP="00E2507D">
      <w:pPr>
        <w:spacing w:after="0"/>
        <w:rPr>
          <w:rFonts w:eastAsia="Times New Roman" w:cs="Arial"/>
          <w:highlight w:val="yellow"/>
          <w:lang w:eastAsia="en-GB"/>
        </w:rPr>
      </w:pPr>
    </w:p>
    <w:p w:rsidR="00E2507D" w:rsidRPr="00506BBC" w:rsidP="00E2507D">
      <w:pPr>
        <w:spacing w:after="0"/>
        <w:rPr>
          <w:rFonts w:eastAsia="Times New Roman" w:cs="Arial"/>
          <w:highlight w:val="yellow"/>
          <w:lang w:eastAsia="en-GB"/>
        </w:rPr>
      </w:pPr>
    </w:p>
    <w:p w:rsidR="00E2507D" w:rsidRPr="00506BBC" w:rsidP="00E2507D">
      <w:pPr>
        <w:spacing w:after="0"/>
        <w:rPr>
          <w:rFonts w:eastAsia="Times New Roman" w:cs="Arial"/>
          <w:highlight w:val="yellow"/>
          <w:lang w:eastAsia="en-GB"/>
        </w:rPr>
      </w:pPr>
    </w:p>
    <w:p w:rsidR="00E2507D" w:rsidRPr="00506BBC" w:rsidP="00E2507D">
      <w:pPr>
        <w:spacing w:after="0"/>
        <w:rPr>
          <w:rFonts w:eastAsia="Times New Roman" w:cs="Arial"/>
          <w:highlight w:val="yellow"/>
          <w:lang w:eastAsia="en-GB"/>
        </w:rPr>
      </w:pPr>
    </w:p>
    <w:p w:rsidR="00E2507D" w:rsidRPr="00506BBC" w:rsidP="00E2507D">
      <w:pPr>
        <w:spacing w:after="0"/>
        <w:rPr>
          <w:rFonts w:eastAsia="Times New Roman" w:cs="Arial"/>
          <w:highlight w:val="yellow"/>
          <w:lang w:eastAsia="en-GB"/>
        </w:rPr>
      </w:pPr>
    </w:p>
    <w:p w:rsidR="00E2507D" w:rsidRPr="00506BBC" w:rsidP="00E2507D">
      <w:pPr>
        <w:spacing w:after="0"/>
        <w:ind w:left="720"/>
        <w:rPr>
          <w:rFonts w:eastAsia="Times New Roman" w:cs="Arial"/>
          <w:highlight w:val="yellow"/>
          <w:lang w:eastAsia="en-GB"/>
        </w:rPr>
      </w:pPr>
    </w:p>
    <w:p w:rsidR="00E2507D" w:rsidRPr="00506BBC" w:rsidP="00E2507D">
      <w:pPr>
        <w:tabs>
          <w:tab w:val="left" w:pos="851"/>
          <w:tab w:val="left" w:pos="1418"/>
        </w:tabs>
        <w:spacing w:after="0"/>
        <w:rPr>
          <w:rFonts w:eastAsia="Times New Roman" w:cs="Arial"/>
          <w:highlight w:val="yellow"/>
          <w:lang w:eastAsia="en-GB"/>
        </w:rPr>
      </w:pPr>
    </w:p>
    <w:p w:rsidR="00E2507D" w:rsidRPr="00506BBC" w:rsidP="00E2507D">
      <w:pPr>
        <w:tabs>
          <w:tab w:val="left" w:pos="851"/>
          <w:tab w:val="left" w:pos="1418"/>
        </w:tabs>
        <w:spacing w:after="0"/>
        <w:rPr>
          <w:rFonts w:eastAsia="Times New Roman" w:cs="Arial"/>
          <w:highlight w:val="yellow"/>
          <w:lang w:eastAsia="en-GB"/>
        </w:rPr>
      </w:pPr>
    </w:p>
    <w:p w:rsidR="00E2507D" w:rsidRPr="00506BBC" w:rsidP="00E2507D">
      <w:pPr>
        <w:tabs>
          <w:tab w:val="left" w:pos="851"/>
          <w:tab w:val="left" w:pos="1418"/>
        </w:tabs>
        <w:spacing w:after="0"/>
        <w:rPr>
          <w:rFonts w:eastAsia="Times New Roman" w:cs="Arial"/>
          <w:highlight w:val="yellow"/>
          <w:lang w:eastAsia="en-GB"/>
        </w:rPr>
      </w:pPr>
    </w:p>
    <w:p w:rsidR="00E2507D" w:rsidRPr="00506BBC" w:rsidP="00E2507D">
      <w:pPr>
        <w:tabs>
          <w:tab w:val="left" w:pos="851"/>
          <w:tab w:val="left" w:pos="1418"/>
        </w:tabs>
        <w:spacing w:after="0"/>
        <w:rPr>
          <w:rFonts w:eastAsia="Times New Roman" w:cs="Arial"/>
          <w:highlight w:val="yellow"/>
          <w:lang w:eastAsia="en-GB"/>
        </w:rPr>
      </w:pPr>
    </w:p>
    <w:p w:rsidR="00E2507D" w:rsidRPr="00506BBC" w:rsidP="00E2507D">
      <w:pPr>
        <w:tabs>
          <w:tab w:val="left" w:pos="851"/>
          <w:tab w:val="left" w:pos="1418"/>
        </w:tabs>
        <w:spacing w:after="0"/>
        <w:rPr>
          <w:rFonts w:eastAsia="Times New Roman" w:cs="Arial"/>
          <w:highlight w:val="yellow"/>
          <w:lang w:eastAsia="en-GB"/>
        </w:rPr>
      </w:pPr>
    </w:p>
    <w:p w:rsidR="00E2507D" w:rsidRPr="00506BBC" w:rsidP="00E2507D">
      <w:pPr>
        <w:tabs>
          <w:tab w:val="left" w:pos="851"/>
          <w:tab w:val="left" w:pos="1418"/>
        </w:tabs>
        <w:spacing w:after="0"/>
        <w:rPr>
          <w:rFonts w:eastAsia="Times New Roman" w:cs="Arial"/>
          <w:highlight w:val="yellow"/>
          <w:lang w:eastAsia="en-GB"/>
        </w:rPr>
      </w:pPr>
    </w:p>
    <w:p w:rsidR="00E2507D" w:rsidRPr="00506BBC" w:rsidP="00E2507D">
      <w:pPr>
        <w:tabs>
          <w:tab w:val="left" w:pos="851"/>
          <w:tab w:val="left" w:pos="1418"/>
        </w:tabs>
        <w:spacing w:after="0"/>
        <w:rPr>
          <w:rFonts w:eastAsia="Times New Roman" w:cs="Arial"/>
          <w:highlight w:val="yellow"/>
          <w:lang w:eastAsia="en-GB"/>
        </w:rPr>
      </w:pPr>
    </w:p>
    <w:p w:rsidR="00E2507D" w:rsidRPr="009D7892" w:rsidP="00E2507D">
      <w:pPr>
        <w:tabs>
          <w:tab w:val="left" w:pos="851"/>
          <w:tab w:val="left" w:pos="1418"/>
        </w:tabs>
        <w:spacing w:after="0"/>
        <w:rPr>
          <w:rFonts w:eastAsia="Times New Roman" w:cs="Arial"/>
          <w:b/>
          <w:lang w:eastAsia="en-GB"/>
        </w:rPr>
      </w:pPr>
      <w:r w:rsidRPr="009D7892">
        <w:rPr>
          <w:rFonts w:eastAsia="Times New Roman" w:cs="Arial"/>
          <w:b/>
          <w:lang w:eastAsia="en-GB"/>
        </w:rPr>
        <w:t>Section A - The 2019/20 Revenue Budget</w:t>
      </w:r>
    </w:p>
    <w:p w:rsidR="00E2507D" w:rsidRPr="009D7892" w:rsidP="00E2507D">
      <w:pPr>
        <w:tabs>
          <w:tab w:val="left" w:pos="851"/>
          <w:tab w:val="left" w:pos="1418"/>
        </w:tabs>
        <w:spacing w:after="0"/>
        <w:rPr>
          <w:rFonts w:eastAsia="Times New Roman" w:cs="Arial"/>
          <w:b/>
          <w:u w:val="single"/>
          <w:lang w:eastAsia="en-GB"/>
        </w:rPr>
      </w:pPr>
    </w:p>
    <w:p w:rsidR="00E2507D" w:rsidRPr="009D7892" w:rsidP="00E2507D">
      <w:pPr>
        <w:tabs>
          <w:tab w:val="left" w:pos="851"/>
          <w:tab w:val="left" w:pos="1418"/>
        </w:tabs>
        <w:spacing w:after="0"/>
        <w:rPr>
          <w:rFonts w:eastAsia="Times New Roman" w:cs="Arial"/>
          <w:b/>
          <w:lang w:eastAsia="en-GB"/>
        </w:rPr>
      </w:pPr>
      <w:r w:rsidRPr="009D7892">
        <w:rPr>
          <w:rFonts w:eastAsia="Times New Roman" w:cs="Arial"/>
          <w:b/>
          <w:lang w:eastAsia="en-GB"/>
        </w:rPr>
        <w:t>1. Executive Summary</w:t>
      </w:r>
    </w:p>
    <w:p w:rsidR="00E2507D" w:rsidRPr="00506BBC" w:rsidP="00E2507D">
      <w:pPr>
        <w:tabs>
          <w:tab w:val="left" w:pos="851"/>
          <w:tab w:val="left" w:pos="1418"/>
        </w:tabs>
        <w:spacing w:after="0"/>
        <w:rPr>
          <w:rFonts w:eastAsia="Times New Roman" w:cs="Arial"/>
          <w:highlight w:val="yellow"/>
          <w:lang w:eastAsia="en-GB"/>
        </w:rPr>
      </w:pPr>
    </w:p>
    <w:p w:rsidR="00E2507D" w:rsidRPr="009D7892" w:rsidP="00E2507D">
      <w:pPr>
        <w:tabs>
          <w:tab w:val="left" w:pos="851"/>
          <w:tab w:val="left" w:pos="1418"/>
        </w:tabs>
        <w:spacing w:after="0"/>
        <w:rPr>
          <w:rFonts w:eastAsia="Times New Roman" w:cs="Arial"/>
          <w:lang w:eastAsia="en-GB"/>
        </w:rPr>
      </w:pPr>
      <w:r w:rsidRPr="009D7892">
        <w:rPr>
          <w:rFonts w:eastAsia="Times New Roman" w:cs="Arial"/>
          <w:lang w:eastAsia="en-GB"/>
        </w:rPr>
        <w:t xml:space="preserve">This section of the report provides an update for Cabinet on the County Council's 2019/20 revenue financial position and contains a comparison to the previously reported financial position as at Quarter 3. </w:t>
      </w:r>
    </w:p>
    <w:p w:rsidR="00E2507D" w:rsidRPr="00506BBC" w:rsidP="00E2507D">
      <w:pPr>
        <w:tabs>
          <w:tab w:val="left" w:pos="851"/>
          <w:tab w:val="left" w:pos="1418"/>
        </w:tabs>
        <w:spacing w:after="0"/>
        <w:rPr>
          <w:rFonts w:eastAsia="Times New Roman" w:cs="Arial"/>
          <w:highlight w:val="yellow"/>
          <w:lang w:eastAsia="en-GB"/>
        </w:rPr>
      </w:pPr>
    </w:p>
    <w:p w:rsidR="00E2507D" w:rsidRPr="001768C0" w:rsidP="00E2507D">
      <w:pPr>
        <w:tabs>
          <w:tab w:val="left" w:pos="851"/>
          <w:tab w:val="left" w:pos="1418"/>
        </w:tabs>
        <w:spacing w:after="0"/>
        <w:rPr>
          <w:rFonts w:eastAsia="Times New Roman" w:cs="Arial"/>
          <w:lang w:eastAsia="en-GB"/>
        </w:rPr>
      </w:pPr>
      <w:r w:rsidRPr="009D7892">
        <w:rPr>
          <w:rFonts w:eastAsia="Times New Roman" w:cs="Arial"/>
          <w:lang w:eastAsia="en-GB"/>
        </w:rPr>
        <w:t xml:space="preserve">The </w:t>
      </w:r>
      <w:r w:rsidRPr="001768C0">
        <w:rPr>
          <w:rFonts w:eastAsia="Times New Roman" w:cs="Arial"/>
          <w:lang w:eastAsia="en-GB"/>
        </w:rPr>
        <w:t xml:space="preserve">final position for the end of the year is net expenditure of £800.534m, reflecting an in year underspend of £1.741m which represents 0.22% of the budget.  </w:t>
      </w:r>
    </w:p>
    <w:p w:rsidR="00E2507D" w:rsidRPr="00506BBC" w:rsidP="00E2507D">
      <w:pPr>
        <w:tabs>
          <w:tab w:val="left" w:pos="851"/>
          <w:tab w:val="left" w:pos="1418"/>
        </w:tabs>
        <w:spacing w:after="0"/>
        <w:rPr>
          <w:highlight w:val="yellow"/>
        </w:rPr>
      </w:pPr>
    </w:p>
    <w:p w:rsidR="00E2507D" w:rsidRPr="001768C0" w:rsidP="00E2507D">
      <w:pPr>
        <w:tabs>
          <w:tab w:val="left" w:pos="851"/>
          <w:tab w:val="left" w:pos="1418"/>
        </w:tabs>
        <w:spacing w:after="0"/>
        <w:rPr>
          <w:rFonts w:eastAsia="Times New Roman" w:cs="Arial"/>
          <w:lang w:eastAsia="en-GB"/>
        </w:rPr>
      </w:pPr>
      <w:r w:rsidRPr="001768C0">
        <w:rPr>
          <w:rFonts w:eastAsia="Times New Roman" w:cs="Arial"/>
          <w:lang w:eastAsia="en-GB"/>
        </w:rPr>
        <w:t>The reven</w:t>
      </w:r>
      <w:r>
        <w:rPr>
          <w:rFonts w:eastAsia="Times New Roman" w:cs="Arial"/>
          <w:lang w:eastAsia="en-GB"/>
        </w:rPr>
        <w:t>ue position includes</w:t>
      </w:r>
      <w:r w:rsidRPr="001768C0">
        <w:rPr>
          <w:rFonts w:eastAsia="Times New Roman" w:cs="Arial"/>
          <w:lang w:eastAsia="en-GB"/>
        </w:rPr>
        <w:t xml:space="preserve"> </w:t>
      </w:r>
      <w:r>
        <w:rPr>
          <w:rFonts w:eastAsia="Times New Roman" w:cs="Arial"/>
          <w:lang w:eastAsia="en-GB"/>
        </w:rPr>
        <w:t xml:space="preserve">a </w:t>
      </w:r>
      <w:r w:rsidRPr="001768C0">
        <w:rPr>
          <w:rFonts w:eastAsia="Times New Roman" w:cs="Arial"/>
          <w:lang w:eastAsia="en-GB"/>
        </w:rPr>
        <w:t>level of</w:t>
      </w:r>
      <w:r>
        <w:rPr>
          <w:rFonts w:eastAsia="Times New Roman" w:cs="Arial"/>
          <w:lang w:eastAsia="en-GB"/>
        </w:rPr>
        <w:t xml:space="preserve"> support from reserves that has</w:t>
      </w:r>
      <w:r w:rsidRPr="001768C0">
        <w:rPr>
          <w:rFonts w:eastAsia="Times New Roman" w:cs="Arial"/>
          <w:lang w:eastAsia="en-GB"/>
        </w:rPr>
        <w:t xml:space="preserve"> previously been agreed. </w:t>
      </w:r>
      <w:r>
        <w:rPr>
          <w:rFonts w:eastAsia="Times New Roman" w:cs="Arial"/>
          <w:b/>
          <w:lang w:eastAsia="en-GB"/>
        </w:rPr>
        <w:t>In 2019/20</w:t>
      </w:r>
      <w:r w:rsidRPr="001768C0">
        <w:rPr>
          <w:rFonts w:eastAsia="Times New Roman" w:cs="Arial"/>
          <w:b/>
          <w:lang w:eastAsia="en-GB"/>
        </w:rPr>
        <w:t xml:space="preserve"> the </w:t>
      </w:r>
      <w:r>
        <w:rPr>
          <w:rFonts w:eastAsia="Times New Roman" w:cs="Arial"/>
          <w:b/>
          <w:lang w:eastAsia="en-GB"/>
        </w:rPr>
        <w:t xml:space="preserve">agreed </w:t>
      </w:r>
      <w:r w:rsidRPr="001768C0">
        <w:rPr>
          <w:rFonts w:eastAsia="Times New Roman" w:cs="Arial"/>
          <w:b/>
          <w:lang w:eastAsia="en-GB"/>
        </w:rPr>
        <w:t>structural reserve funding totalled £10.245m covering the funding gap, and if this support had not been available then expenditure would have exceeded income by £8.504m.</w:t>
      </w:r>
    </w:p>
    <w:p w:rsidR="00E2507D" w:rsidRPr="00506BBC" w:rsidP="00E2507D">
      <w:pPr>
        <w:tabs>
          <w:tab w:val="left" w:pos="851"/>
          <w:tab w:val="left" w:pos="1418"/>
        </w:tabs>
        <w:spacing w:after="0"/>
        <w:rPr>
          <w:highlight w:val="yellow"/>
        </w:rPr>
      </w:pPr>
    </w:p>
    <w:p w:rsidR="00E2507D" w:rsidP="00E2507D">
      <w:pPr>
        <w:tabs>
          <w:tab w:val="left" w:pos="851"/>
          <w:tab w:val="left" w:pos="1418"/>
        </w:tabs>
        <w:spacing w:after="0"/>
      </w:pPr>
      <w:r w:rsidRPr="009D7892">
        <w:t xml:space="preserve">Delivery of the savings programme continues to be a key risk area and the savings plans have been subject to detailed and regular scrutiny throughout 2019/20 by the Programme Office and Finance and will continue to be in future financial years. As part of the 2019/20 outturn position </w:t>
      </w:r>
      <w:r w:rsidRPr="0098627B">
        <w:t>£53.275m of budgeted savings were delivered</w:t>
      </w:r>
      <w:r>
        <w:t>, the most significant savings were in Adults Services £30.744m, Resources £10.178m and Education &amp; Children's Services £7.409m.</w:t>
      </w:r>
    </w:p>
    <w:p w:rsidR="00E2507D" w:rsidP="00E2507D">
      <w:pPr>
        <w:tabs>
          <w:tab w:val="left" w:pos="851"/>
          <w:tab w:val="left" w:pos="1418"/>
        </w:tabs>
        <w:spacing w:after="0"/>
      </w:pPr>
    </w:p>
    <w:p w:rsidR="00E2507D" w:rsidP="00E2507D">
      <w:pPr>
        <w:tabs>
          <w:tab w:val="left" w:pos="851"/>
          <w:tab w:val="left" w:pos="1418"/>
        </w:tabs>
        <w:spacing w:after="0"/>
      </w:pPr>
      <w:r>
        <w:t xml:space="preserve">The impact of </w:t>
      </w:r>
      <w:r w:rsidR="00711F8A">
        <w:t>Coronavirus poses</w:t>
      </w:r>
      <w:r>
        <w:t xml:space="preserve"> a risk to the future financial sustainability of the authority. We will continue to monitor the impacts via our regular monitoring activity updating our forecast outturn and the MTFS as information and guidance changes. We will report this via CMT and in the regular Money Matters updates.</w:t>
      </w:r>
    </w:p>
    <w:p w:rsidR="00E2507D" w:rsidP="00E2507D">
      <w:pPr>
        <w:tabs>
          <w:tab w:val="left" w:pos="851"/>
          <w:tab w:val="left" w:pos="1418"/>
        </w:tabs>
        <w:spacing w:after="0"/>
      </w:pPr>
    </w:p>
    <w:p w:rsidR="00E2507D" w:rsidRPr="00506BBC" w:rsidP="00E2507D">
      <w:pPr>
        <w:tabs>
          <w:tab w:val="left" w:pos="851"/>
          <w:tab w:val="left" w:pos="1418"/>
        </w:tabs>
        <w:spacing w:after="0"/>
        <w:rPr>
          <w:highlight w:val="yellow"/>
        </w:rPr>
      </w:pPr>
      <w:r w:rsidRPr="00506BBC">
        <w:rPr>
          <w:highlight w:val="yellow"/>
        </w:rPr>
        <w:br w:type="page"/>
      </w:r>
    </w:p>
    <w:p w:rsidR="00E2507D" w:rsidRPr="009D7892" w:rsidP="00E2507D">
      <w:pPr>
        <w:spacing w:after="0"/>
        <w:rPr>
          <w:b/>
        </w:rPr>
      </w:pPr>
      <w:r w:rsidRPr="009D7892">
        <w:rPr>
          <w:b/>
        </w:rPr>
        <w:t>2. Revenue Budget Outturn 2019/20 Summary Table</w:t>
      </w:r>
    </w:p>
    <w:p w:rsidR="00E2507D" w:rsidRPr="00506BBC" w:rsidP="00E2507D">
      <w:pPr>
        <w:spacing w:after="0"/>
        <w:rPr>
          <w:rFonts w:cs="Arial"/>
          <w:highlight w:val="yellow"/>
        </w:rPr>
      </w:pPr>
    </w:p>
    <w:tbl>
      <w:tblPr>
        <w:tblW w:w="9068" w:type="dxa"/>
        <w:tblLook w:val="04A0"/>
      </w:tblPr>
      <w:tblGrid>
        <w:gridCol w:w="586"/>
        <w:gridCol w:w="2814"/>
        <w:gridCol w:w="1243"/>
        <w:gridCol w:w="1023"/>
        <w:gridCol w:w="1134"/>
        <w:gridCol w:w="1134"/>
        <w:gridCol w:w="1134"/>
      </w:tblGrid>
      <w:tr w:rsidTr="00E2507D">
        <w:tblPrEx>
          <w:tblW w:w="9068" w:type="dxa"/>
          <w:tblLook w:val="04A0"/>
        </w:tblPrEx>
        <w:trPr>
          <w:trHeight w:val="469"/>
        </w:trPr>
        <w:tc>
          <w:tcPr>
            <w:tcW w:w="586" w:type="dxa"/>
            <w:tcBorders>
              <w:top w:val="single" w:sz="4" w:space="0" w:color="auto"/>
              <w:left w:val="single" w:sz="4" w:space="0" w:color="auto"/>
              <w:bottom w:val="nil"/>
              <w:right w:val="single" w:sz="4" w:space="0" w:color="auto"/>
            </w:tcBorders>
            <w:shd w:val="clear" w:color="000000" w:fill="D9D9D9"/>
            <w:vAlign w:val="center"/>
            <w:hideMark/>
          </w:tcPr>
          <w:p w:rsidR="00E2507D" w:rsidRPr="009D7892" w:rsidP="00E2507D">
            <w:pPr>
              <w:autoSpaceDE/>
              <w:autoSpaceDN/>
              <w:adjustRightInd/>
              <w:spacing w:after="0"/>
              <w:jc w:val="center"/>
              <w:rPr>
                <w:rFonts w:eastAsia="Times New Roman" w:cs="Arial"/>
                <w:b/>
                <w:bCs/>
                <w:sz w:val="22"/>
                <w:szCs w:val="22"/>
                <w:lang w:eastAsia="en-GB"/>
              </w:rPr>
            </w:pPr>
            <w:r w:rsidRPr="009D7892">
              <w:rPr>
                <w:rFonts w:eastAsia="Times New Roman" w:cs="Arial"/>
                <w:b/>
                <w:bCs/>
                <w:sz w:val="22"/>
                <w:szCs w:val="22"/>
                <w:lang w:eastAsia="en-GB"/>
              </w:rPr>
              <w:t>Ref</w:t>
            </w:r>
          </w:p>
        </w:tc>
        <w:tc>
          <w:tcPr>
            <w:tcW w:w="2814" w:type="dxa"/>
            <w:tcBorders>
              <w:top w:val="single" w:sz="4" w:space="0" w:color="auto"/>
              <w:left w:val="nil"/>
              <w:bottom w:val="nil"/>
              <w:right w:val="single" w:sz="4" w:space="0" w:color="auto"/>
            </w:tcBorders>
            <w:shd w:val="clear" w:color="000000" w:fill="D9D9D9"/>
            <w:vAlign w:val="center"/>
            <w:hideMark/>
          </w:tcPr>
          <w:p w:rsidR="00E2507D" w:rsidRPr="009D7892" w:rsidP="00E2507D">
            <w:pPr>
              <w:autoSpaceDE/>
              <w:autoSpaceDN/>
              <w:adjustRightInd/>
              <w:spacing w:after="0"/>
              <w:jc w:val="center"/>
              <w:rPr>
                <w:rFonts w:eastAsia="Times New Roman" w:cs="Arial"/>
                <w:b/>
                <w:bCs/>
                <w:sz w:val="22"/>
                <w:szCs w:val="22"/>
                <w:lang w:eastAsia="en-GB"/>
              </w:rPr>
            </w:pPr>
            <w:r w:rsidRPr="009D7892">
              <w:rPr>
                <w:rFonts w:eastAsia="Times New Roman" w:cs="Arial"/>
                <w:b/>
                <w:bCs/>
                <w:sz w:val="22"/>
                <w:szCs w:val="22"/>
                <w:lang w:eastAsia="en-GB"/>
              </w:rPr>
              <w:t>Service Area</w:t>
            </w:r>
          </w:p>
        </w:tc>
        <w:tc>
          <w:tcPr>
            <w:tcW w:w="1243" w:type="dxa"/>
            <w:tcBorders>
              <w:top w:val="single" w:sz="4" w:space="0" w:color="auto"/>
              <w:left w:val="nil"/>
              <w:bottom w:val="nil"/>
              <w:right w:val="single" w:sz="4" w:space="0" w:color="auto"/>
            </w:tcBorders>
            <w:shd w:val="clear" w:color="000000" w:fill="D9D9D9"/>
            <w:vAlign w:val="center"/>
            <w:hideMark/>
          </w:tcPr>
          <w:p w:rsidR="00E2507D" w:rsidRPr="009D7892" w:rsidP="00E2507D">
            <w:pPr>
              <w:autoSpaceDE/>
              <w:autoSpaceDN/>
              <w:adjustRightInd/>
              <w:spacing w:after="0"/>
              <w:jc w:val="center"/>
              <w:rPr>
                <w:rFonts w:eastAsia="Times New Roman" w:cs="Arial"/>
                <w:b/>
                <w:bCs/>
                <w:sz w:val="22"/>
                <w:szCs w:val="22"/>
                <w:lang w:eastAsia="en-GB"/>
              </w:rPr>
            </w:pPr>
            <w:r w:rsidRPr="009D7892">
              <w:rPr>
                <w:rFonts w:eastAsia="Times New Roman" w:cs="Arial"/>
                <w:b/>
                <w:bCs/>
                <w:sz w:val="22"/>
                <w:szCs w:val="22"/>
                <w:lang w:eastAsia="en-GB"/>
              </w:rPr>
              <w:t>Approved Budget</w:t>
            </w:r>
          </w:p>
        </w:tc>
        <w:tc>
          <w:tcPr>
            <w:tcW w:w="1023" w:type="dxa"/>
            <w:tcBorders>
              <w:top w:val="single" w:sz="4" w:space="0" w:color="auto"/>
              <w:left w:val="nil"/>
              <w:bottom w:val="nil"/>
              <w:right w:val="single" w:sz="4" w:space="0" w:color="auto"/>
            </w:tcBorders>
            <w:shd w:val="clear" w:color="000000" w:fill="D9D9D9"/>
            <w:vAlign w:val="center"/>
            <w:hideMark/>
          </w:tcPr>
          <w:p w:rsidR="00E2507D" w:rsidRPr="009D7892" w:rsidP="00E2507D">
            <w:pPr>
              <w:autoSpaceDE/>
              <w:autoSpaceDN/>
              <w:adjustRightInd/>
              <w:spacing w:after="0"/>
              <w:jc w:val="center"/>
              <w:rPr>
                <w:rFonts w:eastAsia="Times New Roman" w:cs="Arial"/>
                <w:b/>
                <w:bCs/>
                <w:sz w:val="22"/>
                <w:szCs w:val="22"/>
                <w:lang w:eastAsia="en-GB"/>
              </w:rPr>
            </w:pPr>
            <w:r w:rsidRPr="009D7892">
              <w:rPr>
                <w:rFonts w:eastAsia="Times New Roman" w:cs="Arial"/>
                <w:b/>
                <w:bCs/>
                <w:sz w:val="22"/>
                <w:szCs w:val="22"/>
                <w:lang w:eastAsia="en-GB"/>
              </w:rPr>
              <w:t>Outturn</w:t>
            </w:r>
          </w:p>
        </w:tc>
        <w:tc>
          <w:tcPr>
            <w:tcW w:w="1134" w:type="dxa"/>
            <w:tcBorders>
              <w:top w:val="single" w:sz="4" w:space="0" w:color="auto"/>
              <w:left w:val="nil"/>
              <w:bottom w:val="nil"/>
              <w:right w:val="single" w:sz="4" w:space="0" w:color="auto"/>
            </w:tcBorders>
            <w:shd w:val="clear" w:color="000000" w:fill="D9D9D9"/>
            <w:vAlign w:val="center"/>
            <w:hideMark/>
          </w:tcPr>
          <w:p w:rsidR="00E2507D" w:rsidRPr="009D7892" w:rsidP="00E2507D">
            <w:pPr>
              <w:autoSpaceDE/>
              <w:autoSpaceDN/>
              <w:adjustRightInd/>
              <w:spacing w:after="0"/>
              <w:jc w:val="center"/>
              <w:rPr>
                <w:rFonts w:eastAsia="Times New Roman" w:cs="Arial"/>
                <w:b/>
                <w:bCs/>
                <w:sz w:val="22"/>
                <w:szCs w:val="22"/>
                <w:lang w:eastAsia="en-GB"/>
              </w:rPr>
            </w:pPr>
            <w:r w:rsidRPr="009D7892">
              <w:rPr>
                <w:rFonts w:eastAsia="Times New Roman" w:cs="Arial"/>
                <w:b/>
                <w:bCs/>
                <w:sz w:val="22"/>
                <w:szCs w:val="22"/>
                <w:lang w:eastAsia="en-GB"/>
              </w:rPr>
              <w:t>Outturn Variance</w:t>
            </w:r>
          </w:p>
        </w:tc>
        <w:tc>
          <w:tcPr>
            <w:tcW w:w="1134" w:type="dxa"/>
            <w:tcBorders>
              <w:top w:val="single" w:sz="4" w:space="0" w:color="auto"/>
              <w:left w:val="nil"/>
              <w:bottom w:val="nil"/>
              <w:right w:val="single" w:sz="4" w:space="0" w:color="auto"/>
            </w:tcBorders>
            <w:shd w:val="clear" w:color="000000" w:fill="D9D9D9"/>
            <w:vAlign w:val="center"/>
          </w:tcPr>
          <w:p w:rsidR="00E2507D" w:rsidRPr="009D7892" w:rsidP="00E2507D">
            <w:pPr>
              <w:autoSpaceDE/>
              <w:autoSpaceDN/>
              <w:adjustRightInd/>
              <w:spacing w:after="0"/>
              <w:jc w:val="center"/>
              <w:rPr>
                <w:rFonts w:eastAsia="Times New Roman" w:cs="Arial"/>
                <w:b/>
                <w:bCs/>
                <w:sz w:val="22"/>
                <w:szCs w:val="22"/>
                <w:lang w:eastAsia="en-GB"/>
              </w:rPr>
            </w:pPr>
            <w:r w:rsidRPr="009D7892">
              <w:rPr>
                <w:rFonts w:eastAsia="Times New Roman" w:cs="Arial"/>
                <w:b/>
                <w:bCs/>
                <w:sz w:val="22"/>
                <w:szCs w:val="22"/>
                <w:lang w:eastAsia="en-GB"/>
              </w:rPr>
              <w:t>Outturn Variance</w:t>
            </w:r>
          </w:p>
        </w:tc>
        <w:tc>
          <w:tcPr>
            <w:tcW w:w="1134" w:type="dxa"/>
            <w:tcBorders>
              <w:top w:val="single" w:sz="4" w:space="0" w:color="auto"/>
              <w:left w:val="single" w:sz="4" w:space="0" w:color="auto"/>
              <w:bottom w:val="nil"/>
              <w:right w:val="single" w:sz="4" w:space="0" w:color="auto"/>
            </w:tcBorders>
            <w:shd w:val="clear" w:color="000000" w:fill="D9D9D9"/>
            <w:vAlign w:val="center"/>
            <w:hideMark/>
          </w:tcPr>
          <w:p w:rsidR="00E2507D" w:rsidRPr="009D7892" w:rsidP="00E2507D">
            <w:pPr>
              <w:autoSpaceDE/>
              <w:autoSpaceDN/>
              <w:adjustRightInd/>
              <w:spacing w:after="0"/>
              <w:jc w:val="center"/>
              <w:rPr>
                <w:rFonts w:eastAsia="Times New Roman" w:cs="Arial"/>
                <w:b/>
                <w:bCs/>
                <w:sz w:val="22"/>
                <w:szCs w:val="22"/>
                <w:lang w:eastAsia="en-GB"/>
              </w:rPr>
            </w:pPr>
            <w:r w:rsidRPr="009D7892">
              <w:rPr>
                <w:rFonts w:eastAsia="Times New Roman" w:cs="Arial"/>
                <w:b/>
                <w:bCs/>
                <w:sz w:val="22"/>
                <w:szCs w:val="22"/>
                <w:lang w:eastAsia="en-GB"/>
              </w:rPr>
              <w:t>Quarter 3 Forecast</w:t>
            </w:r>
          </w:p>
        </w:tc>
      </w:tr>
      <w:tr w:rsidTr="00E2507D">
        <w:tblPrEx>
          <w:tblW w:w="9068" w:type="dxa"/>
          <w:tblLook w:val="04A0"/>
        </w:tblPrEx>
        <w:trPr>
          <w:trHeight w:val="327"/>
        </w:trPr>
        <w:tc>
          <w:tcPr>
            <w:tcW w:w="586" w:type="dxa"/>
            <w:tcBorders>
              <w:top w:val="nil"/>
              <w:left w:val="single" w:sz="4" w:space="0" w:color="auto"/>
              <w:bottom w:val="single" w:sz="4" w:space="0" w:color="auto"/>
              <w:right w:val="single" w:sz="4" w:space="0" w:color="auto"/>
            </w:tcBorders>
            <w:shd w:val="clear" w:color="000000" w:fill="D9D9D9"/>
            <w:vAlign w:val="bottom"/>
            <w:hideMark/>
          </w:tcPr>
          <w:p w:rsidR="00E2507D" w:rsidRPr="009D7892" w:rsidP="00E2507D">
            <w:pPr>
              <w:autoSpaceDE/>
              <w:autoSpaceDN/>
              <w:adjustRightInd/>
              <w:spacing w:after="0"/>
              <w:jc w:val="center"/>
              <w:rPr>
                <w:rFonts w:eastAsia="Times New Roman" w:cs="Arial"/>
                <w:b/>
                <w:bCs/>
                <w:sz w:val="22"/>
                <w:szCs w:val="22"/>
                <w:lang w:eastAsia="en-GB"/>
              </w:rPr>
            </w:pPr>
            <w:r w:rsidRPr="009D7892">
              <w:rPr>
                <w:rFonts w:eastAsia="Times New Roman" w:cs="Arial"/>
                <w:b/>
                <w:bCs/>
                <w:sz w:val="22"/>
                <w:szCs w:val="22"/>
                <w:lang w:eastAsia="en-GB"/>
              </w:rPr>
              <w:t> </w:t>
            </w:r>
          </w:p>
        </w:tc>
        <w:tc>
          <w:tcPr>
            <w:tcW w:w="2814" w:type="dxa"/>
            <w:tcBorders>
              <w:top w:val="nil"/>
              <w:left w:val="nil"/>
              <w:bottom w:val="single" w:sz="4" w:space="0" w:color="auto"/>
              <w:right w:val="single" w:sz="4" w:space="0" w:color="auto"/>
            </w:tcBorders>
            <w:shd w:val="clear" w:color="000000" w:fill="D9D9D9"/>
            <w:vAlign w:val="bottom"/>
            <w:hideMark/>
          </w:tcPr>
          <w:p w:rsidR="00E2507D" w:rsidRPr="009D7892" w:rsidP="00E2507D">
            <w:pPr>
              <w:autoSpaceDE/>
              <w:autoSpaceDN/>
              <w:adjustRightInd/>
              <w:spacing w:after="0"/>
              <w:jc w:val="center"/>
              <w:rPr>
                <w:rFonts w:eastAsia="Times New Roman" w:cs="Arial"/>
                <w:b/>
                <w:bCs/>
                <w:sz w:val="22"/>
                <w:szCs w:val="22"/>
                <w:lang w:eastAsia="en-GB"/>
              </w:rPr>
            </w:pPr>
            <w:r w:rsidRPr="009D7892">
              <w:rPr>
                <w:rFonts w:eastAsia="Times New Roman" w:cs="Arial"/>
                <w:b/>
                <w:bCs/>
                <w:sz w:val="22"/>
                <w:szCs w:val="22"/>
                <w:lang w:eastAsia="en-GB"/>
              </w:rPr>
              <w:t> </w:t>
            </w:r>
          </w:p>
        </w:tc>
        <w:tc>
          <w:tcPr>
            <w:tcW w:w="1243" w:type="dxa"/>
            <w:tcBorders>
              <w:top w:val="nil"/>
              <w:left w:val="nil"/>
              <w:bottom w:val="single" w:sz="4" w:space="0" w:color="auto"/>
              <w:right w:val="single" w:sz="4" w:space="0" w:color="auto"/>
            </w:tcBorders>
            <w:shd w:val="clear" w:color="000000" w:fill="D9D9D9"/>
            <w:vAlign w:val="bottom"/>
            <w:hideMark/>
          </w:tcPr>
          <w:p w:rsidR="00E2507D" w:rsidRPr="009D7892" w:rsidP="00E2507D">
            <w:pPr>
              <w:autoSpaceDE/>
              <w:autoSpaceDN/>
              <w:adjustRightInd/>
              <w:spacing w:after="0"/>
              <w:jc w:val="center"/>
              <w:rPr>
                <w:rFonts w:eastAsia="Times New Roman" w:cs="Arial"/>
                <w:b/>
                <w:bCs/>
                <w:sz w:val="22"/>
                <w:szCs w:val="22"/>
                <w:lang w:eastAsia="en-GB"/>
              </w:rPr>
            </w:pPr>
            <w:r w:rsidRPr="009D7892">
              <w:rPr>
                <w:rFonts w:eastAsia="Times New Roman" w:cs="Arial"/>
                <w:b/>
                <w:bCs/>
                <w:sz w:val="22"/>
                <w:szCs w:val="22"/>
                <w:lang w:eastAsia="en-GB"/>
              </w:rPr>
              <w:t xml:space="preserve"> £m </w:t>
            </w:r>
          </w:p>
        </w:tc>
        <w:tc>
          <w:tcPr>
            <w:tcW w:w="1023" w:type="dxa"/>
            <w:tcBorders>
              <w:top w:val="nil"/>
              <w:left w:val="nil"/>
              <w:bottom w:val="single" w:sz="4" w:space="0" w:color="auto"/>
              <w:right w:val="single" w:sz="4" w:space="0" w:color="auto"/>
            </w:tcBorders>
            <w:shd w:val="clear" w:color="000000" w:fill="D9D9D9"/>
            <w:vAlign w:val="bottom"/>
            <w:hideMark/>
          </w:tcPr>
          <w:p w:rsidR="00E2507D" w:rsidRPr="009D7892" w:rsidP="00E2507D">
            <w:pPr>
              <w:autoSpaceDE/>
              <w:autoSpaceDN/>
              <w:adjustRightInd/>
              <w:spacing w:after="0"/>
              <w:jc w:val="center"/>
              <w:rPr>
                <w:rFonts w:eastAsia="Times New Roman" w:cs="Arial"/>
                <w:b/>
                <w:bCs/>
                <w:sz w:val="22"/>
                <w:szCs w:val="22"/>
                <w:lang w:eastAsia="en-GB"/>
              </w:rPr>
            </w:pPr>
            <w:r w:rsidRPr="009D7892">
              <w:rPr>
                <w:rFonts w:eastAsia="Times New Roman" w:cs="Arial"/>
                <w:b/>
                <w:bCs/>
                <w:sz w:val="22"/>
                <w:szCs w:val="22"/>
                <w:lang w:eastAsia="en-GB"/>
              </w:rPr>
              <w:t xml:space="preserve"> £m </w:t>
            </w:r>
          </w:p>
        </w:tc>
        <w:tc>
          <w:tcPr>
            <w:tcW w:w="1134" w:type="dxa"/>
            <w:tcBorders>
              <w:top w:val="nil"/>
              <w:left w:val="nil"/>
              <w:bottom w:val="single" w:sz="4" w:space="0" w:color="auto"/>
              <w:right w:val="single" w:sz="4" w:space="0" w:color="auto"/>
            </w:tcBorders>
            <w:shd w:val="clear" w:color="000000" w:fill="D9D9D9"/>
            <w:vAlign w:val="bottom"/>
            <w:hideMark/>
          </w:tcPr>
          <w:p w:rsidR="00E2507D" w:rsidRPr="009D7892" w:rsidP="00E2507D">
            <w:pPr>
              <w:autoSpaceDE/>
              <w:autoSpaceDN/>
              <w:adjustRightInd/>
              <w:spacing w:after="0"/>
              <w:jc w:val="center"/>
              <w:rPr>
                <w:rFonts w:eastAsia="Times New Roman" w:cs="Arial"/>
                <w:b/>
                <w:bCs/>
                <w:sz w:val="22"/>
                <w:szCs w:val="22"/>
                <w:lang w:eastAsia="en-GB"/>
              </w:rPr>
            </w:pPr>
            <w:r w:rsidRPr="009D7892">
              <w:rPr>
                <w:rFonts w:eastAsia="Times New Roman" w:cs="Arial"/>
                <w:b/>
                <w:bCs/>
                <w:sz w:val="22"/>
                <w:szCs w:val="22"/>
                <w:lang w:eastAsia="en-GB"/>
              </w:rPr>
              <w:t xml:space="preserve"> £m </w:t>
            </w:r>
          </w:p>
        </w:tc>
        <w:tc>
          <w:tcPr>
            <w:tcW w:w="1134" w:type="dxa"/>
            <w:tcBorders>
              <w:top w:val="nil"/>
              <w:left w:val="nil"/>
              <w:bottom w:val="single" w:sz="4" w:space="0" w:color="auto"/>
              <w:right w:val="single" w:sz="4" w:space="0" w:color="auto"/>
            </w:tcBorders>
            <w:shd w:val="clear" w:color="000000" w:fill="D9D9D9"/>
            <w:vAlign w:val="bottom"/>
          </w:tcPr>
          <w:p w:rsidR="00E2507D" w:rsidRPr="009D7892" w:rsidP="00E2507D">
            <w:pPr>
              <w:autoSpaceDE/>
              <w:autoSpaceDN/>
              <w:adjustRightInd/>
              <w:spacing w:after="0"/>
              <w:jc w:val="center"/>
              <w:rPr>
                <w:rFonts w:eastAsia="Times New Roman" w:cs="Arial"/>
                <w:b/>
                <w:bCs/>
                <w:sz w:val="22"/>
                <w:szCs w:val="22"/>
                <w:lang w:eastAsia="en-GB"/>
              </w:rPr>
            </w:pPr>
            <w:r w:rsidRPr="009D7892">
              <w:rPr>
                <w:rFonts w:eastAsia="Times New Roman" w:cs="Arial"/>
                <w:b/>
                <w:bCs/>
                <w:sz w:val="22"/>
                <w:szCs w:val="22"/>
                <w:lang w:eastAsia="en-GB"/>
              </w:rPr>
              <w:t>%</w:t>
            </w:r>
          </w:p>
        </w:tc>
        <w:tc>
          <w:tcPr>
            <w:tcW w:w="1134" w:type="dxa"/>
            <w:tcBorders>
              <w:top w:val="nil"/>
              <w:left w:val="single" w:sz="4" w:space="0" w:color="auto"/>
              <w:bottom w:val="single" w:sz="4" w:space="0" w:color="auto"/>
              <w:right w:val="single" w:sz="4" w:space="0" w:color="auto"/>
            </w:tcBorders>
            <w:shd w:val="clear" w:color="000000" w:fill="D9D9D9"/>
            <w:vAlign w:val="bottom"/>
            <w:hideMark/>
          </w:tcPr>
          <w:p w:rsidR="00E2507D" w:rsidRPr="009D7892" w:rsidP="00E2507D">
            <w:pPr>
              <w:autoSpaceDE/>
              <w:autoSpaceDN/>
              <w:adjustRightInd/>
              <w:spacing w:after="0"/>
              <w:jc w:val="center"/>
              <w:rPr>
                <w:rFonts w:eastAsia="Times New Roman" w:cs="Arial"/>
                <w:b/>
                <w:bCs/>
                <w:sz w:val="22"/>
                <w:szCs w:val="22"/>
                <w:lang w:eastAsia="en-GB"/>
              </w:rPr>
            </w:pPr>
            <w:r w:rsidRPr="009D7892">
              <w:rPr>
                <w:rFonts w:eastAsia="Times New Roman" w:cs="Arial"/>
                <w:b/>
                <w:bCs/>
                <w:sz w:val="22"/>
                <w:szCs w:val="22"/>
                <w:lang w:eastAsia="en-GB"/>
              </w:rPr>
              <w:t xml:space="preserve"> £m </w:t>
            </w:r>
          </w:p>
        </w:tc>
      </w:tr>
      <w:tr w:rsidTr="00E2507D">
        <w:tblPrEx>
          <w:tblW w:w="9068" w:type="dxa"/>
          <w:tblLook w:val="04A0"/>
        </w:tblPrEx>
        <w:trPr>
          <w:trHeight w:val="515"/>
        </w:trPr>
        <w:tc>
          <w:tcPr>
            <w:tcW w:w="586" w:type="dxa"/>
            <w:tcBorders>
              <w:top w:val="nil"/>
              <w:left w:val="single" w:sz="4" w:space="0" w:color="auto"/>
              <w:bottom w:val="single" w:sz="4" w:space="0" w:color="auto"/>
              <w:right w:val="single" w:sz="4" w:space="0" w:color="auto"/>
            </w:tcBorders>
            <w:shd w:val="clear" w:color="000000" w:fill="FFFFFF"/>
            <w:vAlign w:val="center"/>
            <w:hideMark/>
          </w:tcPr>
          <w:p w:rsidR="00E2507D" w:rsidRPr="009D7892" w:rsidP="00E2507D">
            <w:pPr>
              <w:autoSpaceDE/>
              <w:autoSpaceDN/>
              <w:adjustRightInd/>
              <w:spacing w:after="0"/>
              <w:jc w:val="left"/>
              <w:rPr>
                <w:rFonts w:eastAsia="Times New Roman" w:cs="Arial"/>
                <w:b/>
                <w:bCs/>
                <w:sz w:val="22"/>
                <w:szCs w:val="22"/>
                <w:lang w:eastAsia="en-GB"/>
              </w:rPr>
            </w:pPr>
            <w:r w:rsidRPr="009D7892">
              <w:rPr>
                <w:rFonts w:eastAsia="Times New Roman" w:cs="Arial"/>
                <w:b/>
                <w:bCs/>
                <w:sz w:val="22"/>
                <w:szCs w:val="22"/>
                <w:lang w:eastAsia="en-GB"/>
              </w:rPr>
              <w:t>3.1</w:t>
            </w:r>
          </w:p>
        </w:tc>
        <w:tc>
          <w:tcPr>
            <w:tcW w:w="2814" w:type="dxa"/>
            <w:tcBorders>
              <w:top w:val="nil"/>
              <w:left w:val="nil"/>
              <w:bottom w:val="single" w:sz="4" w:space="0" w:color="auto"/>
              <w:right w:val="single" w:sz="4" w:space="0" w:color="auto"/>
            </w:tcBorders>
            <w:shd w:val="clear" w:color="000000" w:fill="FFFFFF"/>
            <w:vAlign w:val="center"/>
            <w:hideMark/>
          </w:tcPr>
          <w:p w:rsidR="00E2507D" w:rsidRPr="009D7892" w:rsidP="00E2507D">
            <w:pPr>
              <w:autoSpaceDE/>
              <w:autoSpaceDN/>
              <w:adjustRightInd/>
              <w:spacing w:after="0"/>
              <w:jc w:val="left"/>
              <w:rPr>
                <w:rFonts w:eastAsia="Times New Roman" w:cs="Arial"/>
                <w:sz w:val="22"/>
                <w:szCs w:val="22"/>
                <w:lang w:eastAsia="en-GB"/>
              </w:rPr>
            </w:pPr>
            <w:r w:rsidRPr="009D7892">
              <w:rPr>
                <w:rFonts w:eastAsia="Times New Roman" w:cs="Arial"/>
                <w:sz w:val="22"/>
                <w:szCs w:val="22"/>
                <w:lang w:eastAsia="en-GB"/>
              </w:rPr>
              <w:t>Adult Services</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E2507D" w:rsidRPr="00422120" w:rsidP="00E2507D">
            <w:pPr>
              <w:autoSpaceDE/>
              <w:autoSpaceDN/>
              <w:adjustRightInd/>
              <w:spacing w:after="0"/>
              <w:jc w:val="right"/>
              <w:rPr>
                <w:rFonts w:eastAsia="Times New Roman" w:cs="Arial"/>
                <w:sz w:val="22"/>
                <w:szCs w:val="22"/>
                <w:lang w:eastAsia="en-GB"/>
              </w:rPr>
            </w:pPr>
            <w:r w:rsidRPr="00422120">
              <w:rPr>
                <w:rFonts w:cs="Arial"/>
                <w:sz w:val="22"/>
                <w:szCs w:val="22"/>
              </w:rPr>
              <w:t>340.705</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E2507D" w:rsidRPr="001B54C7" w:rsidP="00E2507D">
            <w:pPr>
              <w:autoSpaceDE/>
              <w:autoSpaceDN/>
              <w:adjustRightInd/>
              <w:spacing w:after="0"/>
              <w:jc w:val="right"/>
              <w:rPr>
                <w:rFonts w:eastAsia="Times New Roman" w:cs="Arial"/>
                <w:sz w:val="22"/>
                <w:szCs w:val="22"/>
                <w:lang w:eastAsia="en-GB"/>
              </w:rPr>
            </w:pPr>
            <w:r w:rsidRPr="001B54C7">
              <w:rPr>
                <w:rFonts w:cs="Arial"/>
                <w:sz w:val="22"/>
                <w:szCs w:val="22"/>
              </w:rPr>
              <w:t>365.635</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507D" w:rsidRPr="001B54C7" w:rsidP="00E2507D">
            <w:pPr>
              <w:autoSpaceDE/>
              <w:autoSpaceDN/>
              <w:adjustRightInd/>
              <w:spacing w:after="0"/>
              <w:jc w:val="right"/>
              <w:rPr>
                <w:rFonts w:eastAsia="Times New Roman" w:cs="Arial"/>
                <w:sz w:val="22"/>
                <w:szCs w:val="22"/>
                <w:lang w:eastAsia="en-GB"/>
              </w:rPr>
            </w:pPr>
            <w:r w:rsidRPr="001B54C7">
              <w:rPr>
                <w:rFonts w:cs="Arial"/>
                <w:sz w:val="22"/>
                <w:szCs w:val="22"/>
              </w:rPr>
              <w:t>24.930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507D" w:rsidRPr="001B54C7" w:rsidP="00E2507D">
            <w:pPr>
              <w:autoSpaceDE/>
              <w:autoSpaceDN/>
              <w:adjustRightInd/>
              <w:spacing w:after="0"/>
              <w:ind w:right="-105"/>
              <w:jc w:val="right"/>
              <w:rPr>
                <w:rFonts w:cs="Arial"/>
                <w:sz w:val="22"/>
                <w:szCs w:val="22"/>
              </w:rPr>
            </w:pPr>
            <w:r w:rsidRPr="001B54C7">
              <w:rPr>
                <w:rFonts w:cs="Arial"/>
                <w:sz w:val="22"/>
                <w:szCs w:val="22"/>
              </w:rPr>
              <w:t>7.32%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507D" w:rsidRPr="001B54C7" w:rsidP="00E2507D">
            <w:pPr>
              <w:autoSpaceDE/>
              <w:autoSpaceDN/>
              <w:adjustRightInd/>
              <w:spacing w:after="0"/>
              <w:jc w:val="right"/>
              <w:rPr>
                <w:rFonts w:eastAsia="Times New Roman" w:cs="Arial"/>
                <w:sz w:val="22"/>
                <w:szCs w:val="22"/>
                <w:lang w:eastAsia="en-GB"/>
              </w:rPr>
            </w:pPr>
            <w:r w:rsidRPr="001B54C7">
              <w:rPr>
                <w:rFonts w:cs="Arial"/>
                <w:sz w:val="22"/>
                <w:szCs w:val="22"/>
              </w:rPr>
              <w:t>10.356</w:t>
            </w:r>
          </w:p>
        </w:tc>
      </w:tr>
      <w:tr w:rsidTr="00E2507D">
        <w:tblPrEx>
          <w:tblW w:w="9068" w:type="dxa"/>
          <w:tblLook w:val="04A0"/>
        </w:tblPrEx>
        <w:trPr>
          <w:trHeight w:val="515"/>
        </w:trPr>
        <w:tc>
          <w:tcPr>
            <w:tcW w:w="586" w:type="dxa"/>
            <w:tcBorders>
              <w:top w:val="nil"/>
              <w:left w:val="single" w:sz="4" w:space="0" w:color="auto"/>
              <w:bottom w:val="single" w:sz="4" w:space="0" w:color="auto"/>
              <w:right w:val="single" w:sz="4" w:space="0" w:color="auto"/>
            </w:tcBorders>
            <w:shd w:val="clear" w:color="000000" w:fill="FFFFFF"/>
            <w:vAlign w:val="center"/>
            <w:hideMark/>
          </w:tcPr>
          <w:p w:rsidR="00E2507D" w:rsidRPr="009D7892" w:rsidP="00E2507D">
            <w:pPr>
              <w:autoSpaceDE/>
              <w:autoSpaceDN/>
              <w:adjustRightInd/>
              <w:spacing w:after="0"/>
              <w:jc w:val="left"/>
              <w:rPr>
                <w:rFonts w:eastAsia="Times New Roman" w:cs="Arial"/>
                <w:b/>
                <w:bCs/>
                <w:sz w:val="22"/>
                <w:szCs w:val="22"/>
                <w:lang w:eastAsia="en-GB"/>
              </w:rPr>
            </w:pPr>
            <w:r w:rsidRPr="009D7892">
              <w:rPr>
                <w:rFonts w:eastAsia="Times New Roman" w:cs="Arial"/>
                <w:b/>
                <w:bCs/>
                <w:sz w:val="22"/>
                <w:szCs w:val="22"/>
                <w:lang w:eastAsia="en-GB"/>
              </w:rPr>
              <w:t>3.2</w:t>
            </w:r>
          </w:p>
        </w:tc>
        <w:tc>
          <w:tcPr>
            <w:tcW w:w="2814" w:type="dxa"/>
            <w:tcBorders>
              <w:top w:val="nil"/>
              <w:left w:val="nil"/>
              <w:bottom w:val="single" w:sz="4" w:space="0" w:color="auto"/>
              <w:right w:val="single" w:sz="4" w:space="0" w:color="auto"/>
            </w:tcBorders>
            <w:shd w:val="clear" w:color="000000" w:fill="FFFFFF"/>
            <w:vAlign w:val="center"/>
            <w:hideMark/>
          </w:tcPr>
          <w:p w:rsidR="00E2507D" w:rsidRPr="009D7892" w:rsidP="00E2507D">
            <w:pPr>
              <w:autoSpaceDE/>
              <w:autoSpaceDN/>
              <w:adjustRightInd/>
              <w:spacing w:after="0"/>
              <w:jc w:val="left"/>
              <w:rPr>
                <w:rFonts w:eastAsia="Times New Roman" w:cs="Arial"/>
                <w:sz w:val="22"/>
                <w:szCs w:val="22"/>
                <w:lang w:eastAsia="en-GB"/>
              </w:rPr>
            </w:pPr>
            <w:r w:rsidRPr="009D7892">
              <w:rPr>
                <w:rFonts w:eastAsia="Times New Roman" w:cs="Arial"/>
                <w:sz w:val="22"/>
                <w:szCs w:val="22"/>
                <w:lang w:eastAsia="en-GB"/>
              </w:rPr>
              <w:t>Public Health and Wellbeing</w:t>
            </w:r>
          </w:p>
        </w:tc>
        <w:tc>
          <w:tcPr>
            <w:tcW w:w="1243" w:type="dxa"/>
            <w:tcBorders>
              <w:top w:val="nil"/>
              <w:left w:val="single" w:sz="4" w:space="0" w:color="auto"/>
              <w:bottom w:val="single" w:sz="4" w:space="0" w:color="auto"/>
              <w:right w:val="single" w:sz="4" w:space="0" w:color="auto"/>
            </w:tcBorders>
            <w:shd w:val="clear" w:color="auto" w:fill="auto"/>
            <w:vAlign w:val="center"/>
          </w:tcPr>
          <w:p w:rsidR="00E2507D" w:rsidRPr="00422120" w:rsidP="00E2507D">
            <w:pPr>
              <w:spacing w:after="0"/>
              <w:jc w:val="right"/>
              <w:rPr>
                <w:rFonts w:cs="Arial"/>
                <w:sz w:val="22"/>
                <w:szCs w:val="22"/>
              </w:rPr>
            </w:pPr>
            <w:r w:rsidRPr="00422120">
              <w:rPr>
                <w:rFonts w:cs="Arial"/>
                <w:sz w:val="22"/>
                <w:szCs w:val="22"/>
              </w:rPr>
              <w:t>-0.485</w:t>
            </w:r>
          </w:p>
        </w:tc>
        <w:tc>
          <w:tcPr>
            <w:tcW w:w="1023" w:type="dxa"/>
            <w:tcBorders>
              <w:top w:val="nil"/>
              <w:left w:val="single" w:sz="4" w:space="0" w:color="auto"/>
              <w:bottom w:val="single" w:sz="4" w:space="0" w:color="auto"/>
              <w:right w:val="single" w:sz="4" w:space="0" w:color="auto"/>
            </w:tcBorders>
            <w:shd w:val="clear" w:color="auto" w:fill="auto"/>
            <w:vAlign w:val="center"/>
          </w:tcPr>
          <w:p w:rsidR="00E2507D" w:rsidRPr="008B2F5B" w:rsidP="00E2507D">
            <w:pPr>
              <w:spacing w:after="0"/>
              <w:jc w:val="right"/>
              <w:rPr>
                <w:rFonts w:cs="Arial"/>
                <w:sz w:val="22"/>
                <w:szCs w:val="22"/>
              </w:rPr>
            </w:pPr>
            <w:r w:rsidRPr="008B2F5B">
              <w:rPr>
                <w:rFonts w:cs="Arial"/>
                <w:sz w:val="22"/>
                <w:szCs w:val="22"/>
              </w:rPr>
              <w:t>-1.175</w:t>
            </w:r>
          </w:p>
        </w:tc>
        <w:tc>
          <w:tcPr>
            <w:tcW w:w="1134"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E2507D" w:rsidRPr="008B2F5B" w:rsidP="00E2507D">
            <w:pPr>
              <w:spacing w:after="0"/>
              <w:jc w:val="right"/>
              <w:rPr>
                <w:rFonts w:cs="Arial"/>
                <w:sz w:val="22"/>
                <w:szCs w:val="22"/>
              </w:rPr>
            </w:pPr>
            <w:r w:rsidRPr="008B2F5B">
              <w:rPr>
                <w:rFonts w:cs="Arial"/>
                <w:sz w:val="22"/>
                <w:szCs w:val="22"/>
              </w:rPr>
              <w:t>-0.690</w:t>
            </w:r>
          </w:p>
        </w:tc>
        <w:tc>
          <w:tcPr>
            <w:tcW w:w="1134" w:type="dxa"/>
            <w:tcBorders>
              <w:top w:val="nil"/>
              <w:left w:val="single" w:sz="4" w:space="0" w:color="auto"/>
              <w:bottom w:val="single" w:sz="4" w:space="0" w:color="auto"/>
              <w:right w:val="single" w:sz="4" w:space="0" w:color="auto"/>
            </w:tcBorders>
            <w:shd w:val="clear" w:color="auto" w:fill="auto"/>
            <w:vAlign w:val="center"/>
          </w:tcPr>
          <w:p w:rsidR="00E2507D" w:rsidRPr="008B2F5B" w:rsidP="00E2507D">
            <w:pPr>
              <w:spacing w:after="0"/>
              <w:ind w:right="-105"/>
              <w:jc w:val="right"/>
              <w:rPr>
                <w:rFonts w:cs="Arial"/>
                <w:sz w:val="22"/>
                <w:szCs w:val="22"/>
              </w:rPr>
            </w:pPr>
            <w:r w:rsidRPr="008B2F5B">
              <w:rPr>
                <w:rFonts w:cs="Arial"/>
                <w:sz w:val="22"/>
                <w:szCs w:val="22"/>
              </w:rPr>
              <w:t>-142.</w:t>
            </w:r>
            <w:r>
              <w:rPr>
                <w:rFonts w:cs="Arial"/>
                <w:sz w:val="22"/>
                <w:szCs w:val="22"/>
              </w:rPr>
              <w:t>27</w:t>
            </w:r>
            <w:r w:rsidRPr="008B2F5B">
              <w:rPr>
                <w:rFonts w:cs="Arial"/>
                <w:sz w:val="22"/>
                <w:szCs w:val="22"/>
              </w:rPr>
              <w:t>%</w:t>
            </w:r>
          </w:p>
        </w:tc>
        <w:tc>
          <w:tcPr>
            <w:tcW w:w="1134" w:type="dxa"/>
            <w:tcBorders>
              <w:top w:val="nil"/>
              <w:left w:val="single" w:sz="4" w:space="0" w:color="auto"/>
              <w:bottom w:val="single" w:sz="4" w:space="0" w:color="auto"/>
              <w:right w:val="single" w:sz="4" w:space="0" w:color="auto"/>
            </w:tcBorders>
            <w:shd w:val="clear" w:color="auto" w:fill="auto"/>
            <w:vAlign w:val="center"/>
          </w:tcPr>
          <w:p w:rsidR="00E2507D" w:rsidRPr="008B2F5B" w:rsidP="00E2507D">
            <w:pPr>
              <w:spacing w:after="0"/>
              <w:jc w:val="right"/>
              <w:rPr>
                <w:rFonts w:cs="Arial"/>
                <w:sz w:val="22"/>
                <w:szCs w:val="22"/>
              </w:rPr>
            </w:pPr>
            <w:r w:rsidRPr="008B2F5B">
              <w:rPr>
                <w:rFonts w:cs="Arial"/>
                <w:sz w:val="22"/>
                <w:szCs w:val="22"/>
              </w:rPr>
              <w:t>-0.078</w:t>
            </w:r>
          </w:p>
        </w:tc>
      </w:tr>
      <w:tr w:rsidTr="00E2507D">
        <w:tblPrEx>
          <w:tblW w:w="9068" w:type="dxa"/>
          <w:tblLook w:val="04A0"/>
        </w:tblPrEx>
        <w:trPr>
          <w:trHeight w:val="515"/>
        </w:trPr>
        <w:tc>
          <w:tcPr>
            <w:tcW w:w="586" w:type="dxa"/>
            <w:tcBorders>
              <w:top w:val="nil"/>
              <w:left w:val="single" w:sz="4" w:space="0" w:color="auto"/>
              <w:bottom w:val="single" w:sz="4" w:space="0" w:color="auto"/>
              <w:right w:val="single" w:sz="4" w:space="0" w:color="auto"/>
            </w:tcBorders>
            <w:shd w:val="clear" w:color="000000" w:fill="FFFFFF"/>
            <w:vAlign w:val="center"/>
          </w:tcPr>
          <w:p w:rsidR="00E2507D" w:rsidRPr="009D7892" w:rsidP="00E2507D">
            <w:pPr>
              <w:autoSpaceDE/>
              <w:autoSpaceDN/>
              <w:adjustRightInd/>
              <w:spacing w:after="0"/>
              <w:jc w:val="left"/>
              <w:rPr>
                <w:rFonts w:eastAsia="Times New Roman" w:cs="Arial"/>
                <w:b/>
                <w:bCs/>
                <w:sz w:val="22"/>
                <w:szCs w:val="22"/>
                <w:lang w:eastAsia="en-GB"/>
              </w:rPr>
            </w:pPr>
            <w:r w:rsidRPr="009D7892">
              <w:rPr>
                <w:rFonts w:eastAsia="Times New Roman" w:cs="Arial"/>
                <w:b/>
                <w:bCs/>
                <w:sz w:val="22"/>
                <w:szCs w:val="22"/>
                <w:lang w:eastAsia="en-GB"/>
              </w:rPr>
              <w:t>3.3</w:t>
            </w:r>
          </w:p>
        </w:tc>
        <w:tc>
          <w:tcPr>
            <w:tcW w:w="2814" w:type="dxa"/>
            <w:tcBorders>
              <w:top w:val="nil"/>
              <w:left w:val="nil"/>
              <w:bottom w:val="single" w:sz="4" w:space="0" w:color="auto"/>
              <w:right w:val="single" w:sz="4" w:space="0" w:color="auto"/>
            </w:tcBorders>
            <w:shd w:val="clear" w:color="000000" w:fill="FFFFFF"/>
            <w:vAlign w:val="center"/>
          </w:tcPr>
          <w:p w:rsidR="00E2507D" w:rsidRPr="009D7892" w:rsidP="00E2507D">
            <w:pPr>
              <w:autoSpaceDE/>
              <w:autoSpaceDN/>
              <w:adjustRightInd/>
              <w:spacing w:after="0"/>
              <w:jc w:val="left"/>
              <w:rPr>
                <w:rFonts w:eastAsia="Times New Roman" w:cs="Arial"/>
                <w:sz w:val="22"/>
                <w:szCs w:val="22"/>
                <w:lang w:eastAsia="en-GB"/>
              </w:rPr>
            </w:pPr>
            <w:r w:rsidRPr="009D7892">
              <w:rPr>
                <w:rFonts w:eastAsia="Times New Roman" w:cs="Arial"/>
                <w:sz w:val="22"/>
                <w:szCs w:val="22"/>
                <w:lang w:eastAsia="en-GB"/>
              </w:rPr>
              <w:t>Adult Services and Public Health and Wellbeing</w:t>
            </w:r>
          </w:p>
        </w:tc>
        <w:tc>
          <w:tcPr>
            <w:tcW w:w="1243" w:type="dxa"/>
            <w:tcBorders>
              <w:top w:val="nil"/>
              <w:left w:val="single" w:sz="4" w:space="0" w:color="auto"/>
              <w:bottom w:val="single" w:sz="4" w:space="0" w:color="auto"/>
              <w:right w:val="single" w:sz="4" w:space="0" w:color="auto"/>
            </w:tcBorders>
            <w:shd w:val="clear" w:color="auto" w:fill="auto"/>
            <w:vAlign w:val="center"/>
          </w:tcPr>
          <w:p w:rsidR="00E2507D" w:rsidRPr="00422120" w:rsidP="00E2507D">
            <w:pPr>
              <w:spacing w:after="0"/>
              <w:jc w:val="right"/>
              <w:rPr>
                <w:rFonts w:cs="Arial"/>
                <w:sz w:val="22"/>
                <w:szCs w:val="22"/>
              </w:rPr>
            </w:pPr>
            <w:r w:rsidRPr="00422120">
              <w:rPr>
                <w:rFonts w:cs="Arial"/>
                <w:sz w:val="22"/>
                <w:szCs w:val="22"/>
              </w:rPr>
              <w:t>7.416</w:t>
            </w:r>
          </w:p>
        </w:tc>
        <w:tc>
          <w:tcPr>
            <w:tcW w:w="1023" w:type="dxa"/>
            <w:tcBorders>
              <w:top w:val="nil"/>
              <w:left w:val="single" w:sz="4" w:space="0" w:color="auto"/>
              <w:bottom w:val="single" w:sz="4" w:space="0" w:color="auto"/>
              <w:right w:val="single" w:sz="4" w:space="0" w:color="auto"/>
            </w:tcBorders>
            <w:shd w:val="clear" w:color="auto" w:fill="auto"/>
            <w:vAlign w:val="center"/>
          </w:tcPr>
          <w:p w:rsidR="00E2507D" w:rsidRPr="001B54C7" w:rsidP="00E2507D">
            <w:pPr>
              <w:spacing w:after="0"/>
              <w:jc w:val="right"/>
              <w:rPr>
                <w:rFonts w:cs="Arial"/>
                <w:sz w:val="22"/>
                <w:szCs w:val="22"/>
              </w:rPr>
            </w:pPr>
            <w:r w:rsidRPr="001B54C7">
              <w:rPr>
                <w:rFonts w:cs="Arial"/>
                <w:sz w:val="22"/>
                <w:szCs w:val="22"/>
              </w:rPr>
              <w:t>7.208</w:t>
            </w:r>
          </w:p>
        </w:tc>
        <w:tc>
          <w:tcPr>
            <w:tcW w:w="1134" w:type="dxa"/>
            <w:tcBorders>
              <w:top w:val="nil"/>
              <w:left w:val="single" w:sz="4" w:space="0" w:color="auto"/>
              <w:bottom w:val="single" w:sz="4" w:space="0" w:color="auto"/>
              <w:right w:val="single" w:sz="4" w:space="0" w:color="auto"/>
            </w:tcBorders>
            <w:shd w:val="clear" w:color="000000" w:fill="D9D9D9"/>
            <w:vAlign w:val="center"/>
          </w:tcPr>
          <w:p w:rsidR="00E2507D" w:rsidRPr="001B54C7" w:rsidP="00E2507D">
            <w:pPr>
              <w:spacing w:after="0"/>
              <w:jc w:val="right"/>
              <w:rPr>
                <w:rFonts w:cs="Arial"/>
                <w:sz w:val="22"/>
                <w:szCs w:val="22"/>
              </w:rPr>
            </w:pPr>
            <w:r w:rsidRPr="001B54C7">
              <w:rPr>
                <w:rFonts w:cs="Arial"/>
                <w:sz w:val="22"/>
                <w:szCs w:val="22"/>
              </w:rPr>
              <w:t>-0.208</w:t>
            </w:r>
          </w:p>
        </w:tc>
        <w:tc>
          <w:tcPr>
            <w:tcW w:w="1134" w:type="dxa"/>
            <w:tcBorders>
              <w:top w:val="nil"/>
              <w:left w:val="single" w:sz="4" w:space="0" w:color="auto"/>
              <w:bottom w:val="single" w:sz="4" w:space="0" w:color="auto"/>
              <w:right w:val="single" w:sz="4" w:space="0" w:color="auto"/>
            </w:tcBorders>
            <w:vAlign w:val="center"/>
          </w:tcPr>
          <w:p w:rsidR="00E2507D" w:rsidRPr="001B54C7" w:rsidP="00E2507D">
            <w:pPr>
              <w:spacing w:after="0"/>
              <w:ind w:right="-105"/>
              <w:jc w:val="right"/>
              <w:rPr>
                <w:rFonts w:cs="Arial"/>
                <w:sz w:val="22"/>
                <w:szCs w:val="22"/>
              </w:rPr>
            </w:pPr>
            <w:r w:rsidRPr="001B54C7">
              <w:rPr>
                <w:rFonts w:cs="Arial"/>
                <w:sz w:val="22"/>
                <w:szCs w:val="22"/>
              </w:rPr>
              <w:t>-2.80%</w:t>
            </w:r>
          </w:p>
        </w:tc>
        <w:tc>
          <w:tcPr>
            <w:tcW w:w="1134" w:type="dxa"/>
            <w:tcBorders>
              <w:top w:val="nil"/>
              <w:left w:val="single" w:sz="4" w:space="0" w:color="auto"/>
              <w:bottom w:val="single" w:sz="4" w:space="0" w:color="auto"/>
              <w:right w:val="single" w:sz="4" w:space="0" w:color="auto"/>
            </w:tcBorders>
            <w:shd w:val="clear" w:color="auto" w:fill="auto"/>
            <w:vAlign w:val="center"/>
          </w:tcPr>
          <w:p w:rsidR="00E2507D" w:rsidRPr="001B54C7" w:rsidP="00E2507D">
            <w:pPr>
              <w:spacing w:after="0"/>
              <w:jc w:val="right"/>
              <w:rPr>
                <w:rFonts w:cs="Arial"/>
                <w:sz w:val="22"/>
                <w:szCs w:val="22"/>
              </w:rPr>
            </w:pPr>
            <w:r>
              <w:rPr>
                <w:rFonts w:cs="Arial"/>
                <w:sz w:val="22"/>
                <w:szCs w:val="22"/>
              </w:rPr>
              <w:t>-</w:t>
            </w:r>
            <w:r w:rsidRPr="001B54C7">
              <w:rPr>
                <w:rFonts w:cs="Arial"/>
                <w:sz w:val="22"/>
                <w:szCs w:val="22"/>
              </w:rPr>
              <w:t>0.089</w:t>
            </w:r>
          </w:p>
        </w:tc>
      </w:tr>
      <w:tr w:rsidTr="00E2507D">
        <w:tblPrEx>
          <w:tblW w:w="9068" w:type="dxa"/>
          <w:tblLook w:val="04A0"/>
        </w:tblPrEx>
        <w:trPr>
          <w:trHeight w:val="515"/>
        </w:trPr>
        <w:tc>
          <w:tcPr>
            <w:tcW w:w="586" w:type="dxa"/>
            <w:tcBorders>
              <w:top w:val="nil"/>
              <w:left w:val="single" w:sz="4" w:space="0" w:color="auto"/>
              <w:bottom w:val="single" w:sz="4" w:space="0" w:color="auto"/>
              <w:right w:val="single" w:sz="4" w:space="0" w:color="auto"/>
            </w:tcBorders>
            <w:shd w:val="clear" w:color="000000" w:fill="FFFFFF"/>
            <w:vAlign w:val="center"/>
            <w:hideMark/>
          </w:tcPr>
          <w:p w:rsidR="00E2507D" w:rsidRPr="009D7892" w:rsidP="00E2507D">
            <w:pPr>
              <w:autoSpaceDE/>
              <w:autoSpaceDN/>
              <w:adjustRightInd/>
              <w:spacing w:after="0"/>
              <w:jc w:val="left"/>
              <w:rPr>
                <w:rFonts w:eastAsia="Times New Roman" w:cs="Arial"/>
                <w:b/>
                <w:bCs/>
                <w:sz w:val="22"/>
                <w:szCs w:val="22"/>
                <w:lang w:eastAsia="en-GB"/>
              </w:rPr>
            </w:pPr>
            <w:r w:rsidRPr="009D7892">
              <w:rPr>
                <w:rFonts w:eastAsia="Times New Roman" w:cs="Arial"/>
                <w:b/>
                <w:bCs/>
                <w:sz w:val="22"/>
                <w:szCs w:val="22"/>
                <w:lang w:eastAsia="en-GB"/>
              </w:rPr>
              <w:t>3.4</w:t>
            </w:r>
          </w:p>
        </w:tc>
        <w:tc>
          <w:tcPr>
            <w:tcW w:w="2814" w:type="dxa"/>
            <w:tcBorders>
              <w:top w:val="nil"/>
              <w:left w:val="nil"/>
              <w:bottom w:val="single" w:sz="4" w:space="0" w:color="auto"/>
              <w:right w:val="single" w:sz="4" w:space="0" w:color="auto"/>
            </w:tcBorders>
            <w:shd w:val="clear" w:color="000000" w:fill="FFFFFF"/>
            <w:vAlign w:val="center"/>
            <w:hideMark/>
          </w:tcPr>
          <w:p w:rsidR="00E2507D" w:rsidRPr="009D7892" w:rsidP="00E2507D">
            <w:pPr>
              <w:autoSpaceDE/>
              <w:autoSpaceDN/>
              <w:adjustRightInd/>
              <w:spacing w:after="0"/>
              <w:jc w:val="left"/>
              <w:rPr>
                <w:rFonts w:eastAsia="Times New Roman" w:cs="Arial"/>
                <w:sz w:val="22"/>
                <w:szCs w:val="22"/>
                <w:lang w:eastAsia="en-GB"/>
              </w:rPr>
            </w:pPr>
            <w:r w:rsidRPr="009D7892">
              <w:rPr>
                <w:rFonts w:eastAsia="Times New Roman" w:cs="Arial"/>
                <w:sz w:val="22"/>
                <w:szCs w:val="22"/>
                <w:lang w:eastAsia="en-GB"/>
              </w:rPr>
              <w:t>Education and Children's Services</w:t>
            </w:r>
          </w:p>
        </w:tc>
        <w:tc>
          <w:tcPr>
            <w:tcW w:w="1243" w:type="dxa"/>
            <w:tcBorders>
              <w:top w:val="single" w:sz="8" w:space="0" w:color="auto"/>
              <w:left w:val="single" w:sz="4" w:space="0" w:color="auto"/>
              <w:bottom w:val="single" w:sz="4" w:space="0" w:color="auto"/>
              <w:right w:val="single" w:sz="4" w:space="0" w:color="auto"/>
            </w:tcBorders>
            <w:shd w:val="clear" w:color="auto" w:fill="auto"/>
            <w:vAlign w:val="center"/>
          </w:tcPr>
          <w:p w:rsidR="00E2507D" w:rsidRPr="00422120" w:rsidP="00E2507D">
            <w:pPr>
              <w:spacing w:after="0"/>
              <w:jc w:val="right"/>
              <w:rPr>
                <w:rFonts w:cs="Arial"/>
                <w:sz w:val="22"/>
                <w:szCs w:val="22"/>
                <w:highlight w:val="yellow"/>
              </w:rPr>
            </w:pPr>
            <w:r w:rsidRPr="00422120">
              <w:rPr>
                <w:rFonts w:eastAsia="Times New Roman" w:cs="Arial"/>
                <w:sz w:val="22"/>
                <w:szCs w:val="22"/>
                <w:lang w:eastAsia="en-GB"/>
              </w:rPr>
              <w:t>190.535</w:t>
            </w:r>
          </w:p>
        </w:tc>
        <w:tc>
          <w:tcPr>
            <w:tcW w:w="1023" w:type="dxa"/>
            <w:tcBorders>
              <w:top w:val="single" w:sz="8" w:space="0" w:color="auto"/>
              <w:left w:val="single" w:sz="4" w:space="0" w:color="auto"/>
              <w:bottom w:val="single" w:sz="4" w:space="0" w:color="auto"/>
              <w:right w:val="single" w:sz="4" w:space="0" w:color="auto"/>
            </w:tcBorders>
            <w:shd w:val="clear" w:color="auto" w:fill="auto"/>
            <w:vAlign w:val="center"/>
          </w:tcPr>
          <w:p w:rsidR="00E2507D" w:rsidRPr="008B2F5B" w:rsidP="00E2507D">
            <w:pPr>
              <w:spacing w:after="0"/>
              <w:jc w:val="right"/>
              <w:rPr>
                <w:rFonts w:cs="Arial"/>
                <w:sz w:val="22"/>
                <w:szCs w:val="22"/>
              </w:rPr>
            </w:pPr>
            <w:r w:rsidRPr="008B2F5B">
              <w:rPr>
                <w:rFonts w:cs="Arial"/>
                <w:sz w:val="22"/>
                <w:szCs w:val="22"/>
              </w:rPr>
              <w:t>191.128</w:t>
            </w:r>
          </w:p>
        </w:tc>
        <w:tc>
          <w:tcPr>
            <w:tcW w:w="1134" w:type="dxa"/>
            <w:tcBorders>
              <w:top w:val="single" w:sz="8" w:space="0" w:color="auto"/>
              <w:left w:val="single" w:sz="4" w:space="0" w:color="auto"/>
              <w:bottom w:val="single" w:sz="4" w:space="0" w:color="auto"/>
              <w:right w:val="single" w:sz="4" w:space="0" w:color="auto"/>
            </w:tcBorders>
            <w:shd w:val="clear" w:color="000000" w:fill="D9D9D9"/>
            <w:vAlign w:val="center"/>
          </w:tcPr>
          <w:p w:rsidR="00E2507D" w:rsidRPr="008B2F5B" w:rsidP="00E2507D">
            <w:pPr>
              <w:spacing w:after="0"/>
              <w:jc w:val="right"/>
              <w:rPr>
                <w:rFonts w:cs="Arial"/>
                <w:sz w:val="22"/>
                <w:szCs w:val="22"/>
              </w:rPr>
            </w:pPr>
            <w:r w:rsidRPr="008B2F5B">
              <w:rPr>
                <w:rFonts w:cs="Arial"/>
                <w:sz w:val="22"/>
                <w:szCs w:val="22"/>
              </w:rPr>
              <w:t>0.593</w:t>
            </w:r>
          </w:p>
        </w:tc>
        <w:tc>
          <w:tcPr>
            <w:tcW w:w="1134" w:type="dxa"/>
            <w:tcBorders>
              <w:top w:val="single" w:sz="8" w:space="0" w:color="auto"/>
              <w:left w:val="single" w:sz="4" w:space="0" w:color="auto"/>
              <w:bottom w:val="single" w:sz="4" w:space="0" w:color="auto"/>
              <w:right w:val="single" w:sz="4" w:space="0" w:color="auto"/>
            </w:tcBorders>
            <w:vAlign w:val="center"/>
          </w:tcPr>
          <w:p w:rsidR="00E2507D" w:rsidRPr="008B2F5B" w:rsidP="00E2507D">
            <w:pPr>
              <w:spacing w:after="0"/>
              <w:ind w:right="-105"/>
              <w:jc w:val="right"/>
              <w:rPr>
                <w:rFonts w:cs="Arial"/>
                <w:sz w:val="22"/>
                <w:szCs w:val="22"/>
              </w:rPr>
            </w:pPr>
            <w:r w:rsidRPr="008B2F5B">
              <w:rPr>
                <w:rFonts w:cs="Arial"/>
                <w:sz w:val="22"/>
                <w:szCs w:val="22"/>
              </w:rPr>
              <w:t>0.31%</w:t>
            </w: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tcPr>
          <w:p w:rsidR="00E2507D" w:rsidRPr="008B2F5B" w:rsidP="00E2507D">
            <w:pPr>
              <w:spacing w:after="0"/>
              <w:jc w:val="right"/>
              <w:rPr>
                <w:rFonts w:cs="Arial"/>
                <w:sz w:val="22"/>
                <w:szCs w:val="22"/>
              </w:rPr>
            </w:pPr>
            <w:r w:rsidRPr="008B2F5B">
              <w:rPr>
                <w:rFonts w:cs="Arial"/>
                <w:sz w:val="22"/>
                <w:szCs w:val="22"/>
              </w:rPr>
              <w:t>3.484</w:t>
            </w:r>
          </w:p>
        </w:tc>
      </w:tr>
      <w:tr w:rsidTr="00E2507D">
        <w:tblPrEx>
          <w:tblW w:w="9068" w:type="dxa"/>
          <w:tblLook w:val="04A0"/>
        </w:tblPrEx>
        <w:trPr>
          <w:trHeight w:val="515"/>
        </w:trPr>
        <w:tc>
          <w:tcPr>
            <w:tcW w:w="586" w:type="dxa"/>
            <w:tcBorders>
              <w:top w:val="nil"/>
              <w:left w:val="single" w:sz="4" w:space="0" w:color="auto"/>
              <w:bottom w:val="single" w:sz="4" w:space="0" w:color="auto"/>
              <w:right w:val="single" w:sz="4" w:space="0" w:color="auto"/>
            </w:tcBorders>
            <w:shd w:val="clear" w:color="000000" w:fill="FFFFFF"/>
            <w:vAlign w:val="center"/>
            <w:hideMark/>
          </w:tcPr>
          <w:p w:rsidR="00E2507D" w:rsidRPr="009D7892" w:rsidP="00E2507D">
            <w:pPr>
              <w:autoSpaceDE/>
              <w:autoSpaceDN/>
              <w:adjustRightInd/>
              <w:spacing w:after="0"/>
              <w:jc w:val="left"/>
              <w:rPr>
                <w:rFonts w:eastAsia="Times New Roman" w:cs="Arial"/>
                <w:b/>
                <w:bCs/>
                <w:sz w:val="22"/>
                <w:szCs w:val="22"/>
                <w:lang w:eastAsia="en-GB"/>
              </w:rPr>
            </w:pPr>
            <w:r w:rsidRPr="009D7892">
              <w:rPr>
                <w:rFonts w:eastAsia="Times New Roman" w:cs="Arial"/>
                <w:b/>
                <w:bCs/>
                <w:sz w:val="22"/>
                <w:szCs w:val="22"/>
                <w:lang w:eastAsia="en-GB"/>
              </w:rPr>
              <w:t>3.5</w:t>
            </w:r>
          </w:p>
        </w:tc>
        <w:tc>
          <w:tcPr>
            <w:tcW w:w="2814" w:type="dxa"/>
            <w:tcBorders>
              <w:top w:val="nil"/>
              <w:left w:val="nil"/>
              <w:bottom w:val="single" w:sz="4" w:space="0" w:color="auto"/>
              <w:right w:val="single" w:sz="4" w:space="0" w:color="auto"/>
            </w:tcBorders>
            <w:shd w:val="clear" w:color="000000" w:fill="FFFFFF"/>
            <w:vAlign w:val="center"/>
            <w:hideMark/>
          </w:tcPr>
          <w:p w:rsidR="00E2507D" w:rsidRPr="009D7892" w:rsidP="00E2507D">
            <w:pPr>
              <w:autoSpaceDE/>
              <w:autoSpaceDN/>
              <w:adjustRightInd/>
              <w:spacing w:after="0"/>
              <w:jc w:val="left"/>
              <w:rPr>
                <w:rFonts w:eastAsia="Times New Roman" w:cs="Arial"/>
                <w:sz w:val="22"/>
                <w:szCs w:val="22"/>
                <w:lang w:eastAsia="en-GB"/>
              </w:rPr>
            </w:pPr>
            <w:r w:rsidRPr="009D7892">
              <w:rPr>
                <w:rFonts w:eastAsia="Times New Roman" w:cs="Arial"/>
                <w:sz w:val="22"/>
                <w:szCs w:val="22"/>
                <w:lang w:eastAsia="en-GB"/>
              </w:rPr>
              <w:t>Growth, Environment and Planning</w:t>
            </w:r>
          </w:p>
        </w:tc>
        <w:tc>
          <w:tcPr>
            <w:tcW w:w="1243" w:type="dxa"/>
            <w:tcBorders>
              <w:top w:val="single" w:sz="8" w:space="0" w:color="auto"/>
              <w:left w:val="single" w:sz="4" w:space="0" w:color="auto"/>
              <w:bottom w:val="single" w:sz="4" w:space="0" w:color="auto"/>
              <w:right w:val="single" w:sz="4" w:space="0" w:color="auto"/>
            </w:tcBorders>
            <w:shd w:val="clear" w:color="auto" w:fill="auto"/>
            <w:vAlign w:val="center"/>
          </w:tcPr>
          <w:p w:rsidR="00E2507D" w:rsidRPr="00422120" w:rsidP="00E2507D">
            <w:pPr>
              <w:spacing w:after="0"/>
              <w:jc w:val="right"/>
              <w:rPr>
                <w:rFonts w:cs="Arial"/>
                <w:sz w:val="22"/>
                <w:szCs w:val="22"/>
                <w:highlight w:val="yellow"/>
              </w:rPr>
            </w:pPr>
            <w:r w:rsidRPr="00422120">
              <w:rPr>
                <w:rFonts w:eastAsia="Times New Roman" w:cs="Arial"/>
                <w:sz w:val="22"/>
                <w:szCs w:val="22"/>
                <w:lang w:eastAsia="en-GB"/>
              </w:rPr>
              <w:t>4.261</w:t>
            </w:r>
          </w:p>
        </w:tc>
        <w:tc>
          <w:tcPr>
            <w:tcW w:w="1023" w:type="dxa"/>
            <w:tcBorders>
              <w:top w:val="single" w:sz="8" w:space="0" w:color="auto"/>
              <w:left w:val="single" w:sz="4" w:space="0" w:color="auto"/>
              <w:bottom w:val="single" w:sz="4" w:space="0" w:color="auto"/>
              <w:right w:val="single" w:sz="4" w:space="0" w:color="auto"/>
            </w:tcBorders>
            <w:shd w:val="clear" w:color="auto" w:fill="auto"/>
            <w:vAlign w:val="center"/>
          </w:tcPr>
          <w:p w:rsidR="00E2507D" w:rsidRPr="008B2F5B" w:rsidP="00E2507D">
            <w:pPr>
              <w:spacing w:after="0"/>
              <w:jc w:val="right"/>
              <w:rPr>
                <w:rFonts w:cs="Arial"/>
                <w:sz w:val="22"/>
                <w:szCs w:val="22"/>
              </w:rPr>
            </w:pPr>
            <w:r w:rsidRPr="008B2F5B">
              <w:rPr>
                <w:rFonts w:cs="Arial"/>
                <w:sz w:val="22"/>
                <w:szCs w:val="22"/>
              </w:rPr>
              <w:t>4.145</w:t>
            </w:r>
          </w:p>
        </w:tc>
        <w:tc>
          <w:tcPr>
            <w:tcW w:w="1134" w:type="dxa"/>
            <w:tcBorders>
              <w:top w:val="single" w:sz="8" w:space="0" w:color="auto"/>
              <w:left w:val="single" w:sz="4" w:space="0" w:color="auto"/>
              <w:bottom w:val="single" w:sz="4" w:space="0" w:color="auto"/>
              <w:right w:val="single" w:sz="4" w:space="0" w:color="auto"/>
            </w:tcBorders>
            <w:shd w:val="clear" w:color="000000" w:fill="D9D9D9"/>
            <w:vAlign w:val="center"/>
          </w:tcPr>
          <w:p w:rsidR="00E2507D" w:rsidRPr="008B2F5B" w:rsidP="00E2507D">
            <w:pPr>
              <w:spacing w:after="0"/>
              <w:jc w:val="right"/>
              <w:rPr>
                <w:rFonts w:cs="Arial"/>
                <w:sz w:val="22"/>
                <w:szCs w:val="22"/>
              </w:rPr>
            </w:pPr>
            <w:r w:rsidRPr="008B2F5B">
              <w:rPr>
                <w:rFonts w:cs="Arial"/>
                <w:sz w:val="22"/>
                <w:szCs w:val="22"/>
              </w:rPr>
              <w:t>-0.116</w:t>
            </w:r>
          </w:p>
        </w:tc>
        <w:tc>
          <w:tcPr>
            <w:tcW w:w="1134" w:type="dxa"/>
            <w:tcBorders>
              <w:top w:val="single" w:sz="8" w:space="0" w:color="auto"/>
              <w:left w:val="single" w:sz="4" w:space="0" w:color="auto"/>
              <w:bottom w:val="single" w:sz="4" w:space="0" w:color="auto"/>
              <w:right w:val="single" w:sz="4" w:space="0" w:color="auto"/>
            </w:tcBorders>
            <w:vAlign w:val="center"/>
          </w:tcPr>
          <w:p w:rsidR="00E2507D" w:rsidRPr="008B2F5B" w:rsidP="00E2507D">
            <w:pPr>
              <w:spacing w:after="0"/>
              <w:ind w:right="-105"/>
              <w:jc w:val="right"/>
              <w:rPr>
                <w:rFonts w:cs="Arial"/>
                <w:sz w:val="22"/>
                <w:szCs w:val="22"/>
              </w:rPr>
            </w:pPr>
            <w:r w:rsidRPr="008B2F5B">
              <w:rPr>
                <w:rFonts w:cs="Arial"/>
                <w:sz w:val="22"/>
                <w:szCs w:val="22"/>
              </w:rPr>
              <w:t>-2.72%</w:t>
            </w: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tcPr>
          <w:p w:rsidR="00E2507D" w:rsidRPr="008B2F5B" w:rsidP="00E2507D">
            <w:pPr>
              <w:spacing w:after="0"/>
              <w:jc w:val="right"/>
              <w:rPr>
                <w:rFonts w:cs="Arial"/>
                <w:sz w:val="22"/>
                <w:szCs w:val="22"/>
              </w:rPr>
            </w:pPr>
            <w:r w:rsidRPr="008B2F5B">
              <w:rPr>
                <w:rFonts w:cs="Arial"/>
                <w:sz w:val="22"/>
                <w:szCs w:val="22"/>
              </w:rPr>
              <w:t>-0.034</w:t>
            </w:r>
          </w:p>
        </w:tc>
      </w:tr>
      <w:tr w:rsidTr="00E2507D">
        <w:tblPrEx>
          <w:tblW w:w="9068" w:type="dxa"/>
          <w:tblLook w:val="04A0"/>
        </w:tblPrEx>
        <w:trPr>
          <w:trHeight w:val="515"/>
        </w:trPr>
        <w:tc>
          <w:tcPr>
            <w:tcW w:w="586" w:type="dxa"/>
            <w:tcBorders>
              <w:top w:val="nil"/>
              <w:left w:val="single" w:sz="4" w:space="0" w:color="auto"/>
              <w:bottom w:val="single" w:sz="4" w:space="0" w:color="auto"/>
              <w:right w:val="single" w:sz="4" w:space="0" w:color="auto"/>
            </w:tcBorders>
            <w:shd w:val="clear" w:color="000000" w:fill="FFFFFF"/>
            <w:vAlign w:val="center"/>
            <w:hideMark/>
          </w:tcPr>
          <w:p w:rsidR="00E2507D" w:rsidRPr="009D7892" w:rsidP="00E2507D">
            <w:pPr>
              <w:autoSpaceDE/>
              <w:autoSpaceDN/>
              <w:adjustRightInd/>
              <w:spacing w:after="0"/>
              <w:jc w:val="left"/>
              <w:rPr>
                <w:rFonts w:eastAsia="Times New Roman" w:cs="Arial"/>
                <w:b/>
                <w:bCs/>
                <w:sz w:val="22"/>
                <w:szCs w:val="22"/>
                <w:lang w:eastAsia="en-GB"/>
              </w:rPr>
            </w:pPr>
            <w:r w:rsidRPr="009D7892">
              <w:rPr>
                <w:rFonts w:eastAsia="Times New Roman" w:cs="Arial"/>
                <w:b/>
                <w:bCs/>
                <w:sz w:val="22"/>
                <w:szCs w:val="22"/>
                <w:lang w:eastAsia="en-GB"/>
              </w:rPr>
              <w:t>3.6</w:t>
            </w:r>
          </w:p>
        </w:tc>
        <w:tc>
          <w:tcPr>
            <w:tcW w:w="2814" w:type="dxa"/>
            <w:tcBorders>
              <w:top w:val="nil"/>
              <w:left w:val="nil"/>
              <w:bottom w:val="single" w:sz="4" w:space="0" w:color="auto"/>
              <w:right w:val="single" w:sz="4" w:space="0" w:color="auto"/>
            </w:tcBorders>
            <w:shd w:val="clear" w:color="000000" w:fill="FFFFFF"/>
            <w:vAlign w:val="center"/>
            <w:hideMark/>
          </w:tcPr>
          <w:p w:rsidR="00E2507D" w:rsidRPr="009D7892" w:rsidP="00E2507D">
            <w:pPr>
              <w:autoSpaceDE/>
              <w:autoSpaceDN/>
              <w:adjustRightInd/>
              <w:spacing w:after="0"/>
              <w:jc w:val="left"/>
              <w:rPr>
                <w:rFonts w:eastAsia="Times New Roman" w:cs="Arial"/>
                <w:sz w:val="22"/>
                <w:szCs w:val="22"/>
                <w:lang w:eastAsia="en-GB"/>
              </w:rPr>
            </w:pPr>
            <w:r w:rsidRPr="009D7892">
              <w:rPr>
                <w:rFonts w:eastAsia="Times New Roman" w:cs="Arial"/>
                <w:sz w:val="22"/>
                <w:szCs w:val="22"/>
                <w:lang w:eastAsia="en-GB"/>
              </w:rPr>
              <w:t>Highways and Transport</w:t>
            </w:r>
          </w:p>
        </w:tc>
        <w:tc>
          <w:tcPr>
            <w:tcW w:w="1243" w:type="dxa"/>
            <w:tcBorders>
              <w:top w:val="nil"/>
              <w:left w:val="single" w:sz="4" w:space="0" w:color="auto"/>
              <w:bottom w:val="nil"/>
              <w:right w:val="single" w:sz="4" w:space="0" w:color="auto"/>
            </w:tcBorders>
            <w:shd w:val="clear" w:color="auto" w:fill="auto"/>
            <w:vAlign w:val="center"/>
          </w:tcPr>
          <w:p w:rsidR="00E2507D" w:rsidRPr="00422120" w:rsidP="00E2507D">
            <w:pPr>
              <w:spacing w:after="0"/>
              <w:jc w:val="right"/>
              <w:rPr>
                <w:rFonts w:cs="Arial"/>
                <w:sz w:val="22"/>
                <w:szCs w:val="22"/>
                <w:highlight w:val="yellow"/>
              </w:rPr>
            </w:pPr>
            <w:r w:rsidRPr="00422120">
              <w:rPr>
                <w:rFonts w:eastAsia="Times New Roman" w:cs="Arial"/>
                <w:sz w:val="22"/>
                <w:szCs w:val="22"/>
                <w:lang w:eastAsia="en-GB"/>
              </w:rPr>
              <w:t>126.025</w:t>
            </w:r>
          </w:p>
        </w:tc>
        <w:tc>
          <w:tcPr>
            <w:tcW w:w="1023" w:type="dxa"/>
            <w:tcBorders>
              <w:top w:val="nil"/>
              <w:left w:val="single" w:sz="4" w:space="0" w:color="auto"/>
              <w:bottom w:val="nil"/>
              <w:right w:val="single" w:sz="4" w:space="0" w:color="auto"/>
            </w:tcBorders>
            <w:shd w:val="clear" w:color="auto" w:fill="auto"/>
            <w:vAlign w:val="center"/>
          </w:tcPr>
          <w:p w:rsidR="00E2507D" w:rsidRPr="008B2F5B" w:rsidP="00E2507D">
            <w:pPr>
              <w:spacing w:after="0"/>
              <w:jc w:val="right"/>
              <w:rPr>
                <w:rFonts w:cs="Arial"/>
                <w:sz w:val="22"/>
                <w:szCs w:val="22"/>
              </w:rPr>
            </w:pPr>
            <w:r w:rsidRPr="008B2F5B">
              <w:rPr>
                <w:rFonts w:cs="Arial"/>
                <w:sz w:val="22"/>
                <w:szCs w:val="22"/>
              </w:rPr>
              <w:t>127.681</w:t>
            </w:r>
          </w:p>
        </w:tc>
        <w:tc>
          <w:tcPr>
            <w:tcW w:w="1134" w:type="dxa"/>
            <w:tcBorders>
              <w:top w:val="nil"/>
              <w:left w:val="single" w:sz="4" w:space="0" w:color="auto"/>
              <w:bottom w:val="nil"/>
              <w:right w:val="single" w:sz="4" w:space="0" w:color="auto"/>
            </w:tcBorders>
            <w:shd w:val="clear" w:color="000000" w:fill="D9D9D9"/>
            <w:vAlign w:val="center"/>
          </w:tcPr>
          <w:p w:rsidR="00E2507D" w:rsidRPr="008B2F5B" w:rsidP="00E2507D">
            <w:pPr>
              <w:spacing w:after="0"/>
              <w:jc w:val="right"/>
              <w:rPr>
                <w:rFonts w:cs="Arial"/>
                <w:sz w:val="22"/>
                <w:szCs w:val="22"/>
              </w:rPr>
            </w:pPr>
            <w:r w:rsidRPr="008B2F5B">
              <w:rPr>
                <w:rFonts w:cs="Arial"/>
                <w:sz w:val="22"/>
                <w:szCs w:val="22"/>
              </w:rPr>
              <w:t>1.656</w:t>
            </w:r>
          </w:p>
        </w:tc>
        <w:tc>
          <w:tcPr>
            <w:tcW w:w="1134" w:type="dxa"/>
            <w:tcBorders>
              <w:top w:val="nil"/>
              <w:left w:val="single" w:sz="4" w:space="0" w:color="auto"/>
              <w:bottom w:val="nil"/>
              <w:right w:val="single" w:sz="4" w:space="0" w:color="auto"/>
            </w:tcBorders>
            <w:vAlign w:val="center"/>
          </w:tcPr>
          <w:p w:rsidR="00E2507D" w:rsidRPr="008B2F5B" w:rsidP="00E2507D">
            <w:pPr>
              <w:spacing w:after="0"/>
              <w:ind w:right="-105"/>
              <w:jc w:val="right"/>
              <w:rPr>
                <w:rFonts w:cs="Arial"/>
                <w:sz w:val="22"/>
                <w:szCs w:val="22"/>
              </w:rPr>
            </w:pPr>
            <w:r w:rsidRPr="008B2F5B">
              <w:rPr>
                <w:rFonts w:cs="Arial"/>
                <w:sz w:val="22"/>
                <w:szCs w:val="22"/>
              </w:rPr>
              <w:t>1.31%</w:t>
            </w:r>
          </w:p>
        </w:tc>
        <w:tc>
          <w:tcPr>
            <w:tcW w:w="1134" w:type="dxa"/>
            <w:tcBorders>
              <w:top w:val="nil"/>
              <w:left w:val="single" w:sz="4" w:space="0" w:color="auto"/>
              <w:bottom w:val="nil"/>
              <w:right w:val="single" w:sz="4" w:space="0" w:color="auto"/>
            </w:tcBorders>
            <w:shd w:val="clear" w:color="auto" w:fill="auto"/>
            <w:vAlign w:val="center"/>
          </w:tcPr>
          <w:p w:rsidR="00E2507D" w:rsidRPr="008B2F5B" w:rsidP="00E2507D">
            <w:pPr>
              <w:spacing w:after="0"/>
              <w:jc w:val="right"/>
              <w:rPr>
                <w:rFonts w:cs="Arial"/>
                <w:sz w:val="22"/>
                <w:szCs w:val="22"/>
              </w:rPr>
            </w:pPr>
            <w:r w:rsidRPr="008B2F5B">
              <w:rPr>
                <w:rFonts w:cs="Arial"/>
                <w:sz w:val="22"/>
                <w:szCs w:val="22"/>
              </w:rPr>
              <w:t>1.218</w:t>
            </w:r>
          </w:p>
        </w:tc>
      </w:tr>
      <w:tr w:rsidTr="00E2507D">
        <w:tblPrEx>
          <w:tblW w:w="9068" w:type="dxa"/>
          <w:tblLook w:val="04A0"/>
        </w:tblPrEx>
        <w:trPr>
          <w:trHeight w:val="515"/>
        </w:trPr>
        <w:tc>
          <w:tcPr>
            <w:tcW w:w="586" w:type="dxa"/>
            <w:tcBorders>
              <w:top w:val="nil"/>
              <w:left w:val="single" w:sz="4" w:space="0" w:color="auto"/>
              <w:bottom w:val="single" w:sz="4" w:space="0" w:color="auto"/>
              <w:right w:val="single" w:sz="4" w:space="0" w:color="auto"/>
            </w:tcBorders>
            <w:shd w:val="clear" w:color="000000" w:fill="FFFFFF"/>
            <w:vAlign w:val="center"/>
            <w:hideMark/>
          </w:tcPr>
          <w:p w:rsidR="00E2507D" w:rsidRPr="009D7892" w:rsidP="00E2507D">
            <w:pPr>
              <w:autoSpaceDE/>
              <w:autoSpaceDN/>
              <w:adjustRightInd/>
              <w:spacing w:after="0"/>
              <w:jc w:val="left"/>
              <w:rPr>
                <w:rFonts w:eastAsia="Times New Roman" w:cs="Arial"/>
                <w:b/>
                <w:bCs/>
                <w:sz w:val="22"/>
                <w:szCs w:val="22"/>
                <w:lang w:eastAsia="en-GB"/>
              </w:rPr>
            </w:pPr>
            <w:r w:rsidRPr="009D7892">
              <w:rPr>
                <w:rFonts w:eastAsia="Times New Roman" w:cs="Arial"/>
                <w:b/>
                <w:bCs/>
                <w:sz w:val="22"/>
                <w:szCs w:val="22"/>
                <w:lang w:eastAsia="en-GB"/>
              </w:rPr>
              <w:t>3.7</w:t>
            </w:r>
          </w:p>
        </w:tc>
        <w:tc>
          <w:tcPr>
            <w:tcW w:w="2814" w:type="dxa"/>
            <w:tcBorders>
              <w:top w:val="nil"/>
              <w:left w:val="nil"/>
              <w:bottom w:val="single" w:sz="4" w:space="0" w:color="auto"/>
              <w:right w:val="single" w:sz="4" w:space="0" w:color="auto"/>
            </w:tcBorders>
            <w:shd w:val="clear" w:color="000000" w:fill="FFFFFF"/>
            <w:vAlign w:val="center"/>
            <w:hideMark/>
          </w:tcPr>
          <w:p w:rsidR="00E2507D" w:rsidRPr="009D7892" w:rsidP="00E2507D">
            <w:pPr>
              <w:autoSpaceDE/>
              <w:autoSpaceDN/>
              <w:adjustRightInd/>
              <w:spacing w:after="0"/>
              <w:jc w:val="left"/>
              <w:rPr>
                <w:rFonts w:eastAsia="Times New Roman" w:cs="Arial"/>
                <w:sz w:val="22"/>
                <w:szCs w:val="22"/>
                <w:lang w:eastAsia="en-GB"/>
              </w:rPr>
            </w:pPr>
            <w:r w:rsidRPr="009D7892">
              <w:rPr>
                <w:rFonts w:eastAsia="Times New Roman" w:cs="Arial"/>
                <w:sz w:val="22"/>
                <w:szCs w:val="22"/>
                <w:lang w:eastAsia="en-GB"/>
              </w:rPr>
              <w:t>Finance</w:t>
            </w:r>
          </w:p>
        </w:tc>
        <w:tc>
          <w:tcPr>
            <w:tcW w:w="1243" w:type="dxa"/>
            <w:tcBorders>
              <w:top w:val="single" w:sz="8" w:space="0" w:color="auto"/>
              <w:left w:val="single" w:sz="4" w:space="0" w:color="auto"/>
              <w:bottom w:val="single" w:sz="4" w:space="0" w:color="auto"/>
              <w:right w:val="single" w:sz="4" w:space="0" w:color="auto"/>
            </w:tcBorders>
            <w:shd w:val="clear" w:color="auto" w:fill="auto"/>
            <w:vAlign w:val="center"/>
          </w:tcPr>
          <w:p w:rsidR="00E2507D" w:rsidRPr="00422120" w:rsidP="00E2507D">
            <w:pPr>
              <w:spacing w:after="0"/>
              <w:jc w:val="right"/>
              <w:rPr>
                <w:rFonts w:cs="Arial"/>
                <w:sz w:val="22"/>
                <w:szCs w:val="22"/>
                <w:highlight w:val="yellow"/>
              </w:rPr>
            </w:pPr>
            <w:r w:rsidRPr="00422120">
              <w:rPr>
                <w:rFonts w:eastAsia="Times New Roman" w:cs="Arial"/>
                <w:sz w:val="22"/>
                <w:szCs w:val="22"/>
                <w:lang w:eastAsia="en-GB"/>
              </w:rPr>
              <w:t>39.077</w:t>
            </w:r>
          </w:p>
        </w:tc>
        <w:tc>
          <w:tcPr>
            <w:tcW w:w="1023" w:type="dxa"/>
            <w:tcBorders>
              <w:top w:val="single" w:sz="8" w:space="0" w:color="auto"/>
              <w:left w:val="single" w:sz="4" w:space="0" w:color="auto"/>
              <w:bottom w:val="single" w:sz="4" w:space="0" w:color="auto"/>
              <w:right w:val="single" w:sz="4" w:space="0" w:color="auto"/>
            </w:tcBorders>
            <w:shd w:val="clear" w:color="auto" w:fill="auto"/>
            <w:vAlign w:val="center"/>
          </w:tcPr>
          <w:p w:rsidR="00E2507D" w:rsidRPr="008B2F5B" w:rsidP="00E2507D">
            <w:pPr>
              <w:spacing w:after="0"/>
              <w:jc w:val="right"/>
              <w:rPr>
                <w:rFonts w:cs="Arial"/>
                <w:sz w:val="22"/>
                <w:szCs w:val="22"/>
              </w:rPr>
            </w:pPr>
            <w:r w:rsidRPr="008B2F5B">
              <w:rPr>
                <w:rFonts w:cs="Arial"/>
                <w:sz w:val="22"/>
                <w:szCs w:val="22"/>
              </w:rPr>
              <w:t>38.362</w:t>
            </w:r>
          </w:p>
        </w:tc>
        <w:tc>
          <w:tcPr>
            <w:tcW w:w="1134" w:type="dxa"/>
            <w:tcBorders>
              <w:top w:val="single" w:sz="8" w:space="0" w:color="auto"/>
              <w:left w:val="single" w:sz="4" w:space="0" w:color="auto"/>
              <w:bottom w:val="single" w:sz="4" w:space="0" w:color="auto"/>
              <w:right w:val="single" w:sz="4" w:space="0" w:color="auto"/>
            </w:tcBorders>
            <w:shd w:val="clear" w:color="000000" w:fill="D9D9D9"/>
            <w:vAlign w:val="center"/>
          </w:tcPr>
          <w:p w:rsidR="00E2507D" w:rsidRPr="008B2F5B" w:rsidP="00E2507D">
            <w:pPr>
              <w:spacing w:after="0"/>
              <w:jc w:val="right"/>
              <w:rPr>
                <w:rFonts w:cs="Arial"/>
                <w:sz w:val="22"/>
                <w:szCs w:val="22"/>
              </w:rPr>
            </w:pPr>
            <w:r w:rsidRPr="008B2F5B">
              <w:rPr>
                <w:rFonts w:cs="Arial"/>
                <w:sz w:val="22"/>
                <w:szCs w:val="22"/>
              </w:rPr>
              <w:t>-0.715</w:t>
            </w:r>
          </w:p>
        </w:tc>
        <w:tc>
          <w:tcPr>
            <w:tcW w:w="1134" w:type="dxa"/>
            <w:tcBorders>
              <w:top w:val="single" w:sz="8" w:space="0" w:color="auto"/>
              <w:left w:val="single" w:sz="4" w:space="0" w:color="auto"/>
              <w:bottom w:val="single" w:sz="4" w:space="0" w:color="auto"/>
              <w:right w:val="single" w:sz="4" w:space="0" w:color="auto"/>
            </w:tcBorders>
            <w:vAlign w:val="center"/>
          </w:tcPr>
          <w:p w:rsidR="00E2507D" w:rsidRPr="008B2F5B" w:rsidP="00E2507D">
            <w:pPr>
              <w:spacing w:after="0"/>
              <w:ind w:right="-105"/>
              <w:jc w:val="right"/>
              <w:rPr>
                <w:rFonts w:cs="Arial"/>
                <w:sz w:val="22"/>
                <w:szCs w:val="22"/>
              </w:rPr>
            </w:pPr>
            <w:r w:rsidRPr="008B2F5B">
              <w:rPr>
                <w:rFonts w:cs="Arial"/>
                <w:sz w:val="22"/>
                <w:szCs w:val="22"/>
              </w:rPr>
              <w:t>-1.83%</w:t>
            </w: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tcPr>
          <w:p w:rsidR="00E2507D" w:rsidRPr="008B2F5B" w:rsidP="00E2507D">
            <w:pPr>
              <w:spacing w:after="0"/>
              <w:jc w:val="right"/>
              <w:rPr>
                <w:rFonts w:cs="Arial"/>
                <w:sz w:val="22"/>
                <w:szCs w:val="22"/>
              </w:rPr>
            </w:pPr>
            <w:r w:rsidRPr="008B2F5B">
              <w:rPr>
                <w:rFonts w:cs="Arial"/>
                <w:sz w:val="22"/>
                <w:szCs w:val="22"/>
              </w:rPr>
              <w:t>-0.550</w:t>
            </w:r>
          </w:p>
        </w:tc>
      </w:tr>
      <w:tr w:rsidTr="00E2507D">
        <w:tblPrEx>
          <w:tblW w:w="9068" w:type="dxa"/>
          <w:tblLook w:val="04A0"/>
        </w:tblPrEx>
        <w:trPr>
          <w:trHeight w:val="515"/>
        </w:trPr>
        <w:tc>
          <w:tcPr>
            <w:tcW w:w="586" w:type="dxa"/>
            <w:tcBorders>
              <w:top w:val="nil"/>
              <w:left w:val="single" w:sz="4" w:space="0" w:color="auto"/>
              <w:bottom w:val="single" w:sz="4" w:space="0" w:color="auto"/>
              <w:right w:val="single" w:sz="4" w:space="0" w:color="auto"/>
            </w:tcBorders>
            <w:shd w:val="clear" w:color="000000" w:fill="FFFFFF"/>
            <w:vAlign w:val="center"/>
            <w:hideMark/>
          </w:tcPr>
          <w:p w:rsidR="00E2507D" w:rsidRPr="009D7892" w:rsidP="00E2507D">
            <w:pPr>
              <w:autoSpaceDE/>
              <w:autoSpaceDN/>
              <w:adjustRightInd/>
              <w:spacing w:after="0"/>
              <w:jc w:val="left"/>
              <w:rPr>
                <w:rFonts w:eastAsia="Times New Roman" w:cs="Arial"/>
                <w:b/>
                <w:bCs/>
                <w:sz w:val="22"/>
                <w:szCs w:val="22"/>
                <w:lang w:eastAsia="en-GB"/>
              </w:rPr>
            </w:pPr>
            <w:r w:rsidRPr="009D7892">
              <w:rPr>
                <w:rFonts w:eastAsia="Times New Roman" w:cs="Arial"/>
                <w:b/>
                <w:bCs/>
                <w:sz w:val="22"/>
                <w:szCs w:val="22"/>
                <w:lang w:eastAsia="en-GB"/>
              </w:rPr>
              <w:t>3.8</w:t>
            </w:r>
          </w:p>
        </w:tc>
        <w:tc>
          <w:tcPr>
            <w:tcW w:w="2814" w:type="dxa"/>
            <w:tcBorders>
              <w:top w:val="nil"/>
              <w:left w:val="nil"/>
              <w:bottom w:val="single" w:sz="4" w:space="0" w:color="auto"/>
              <w:right w:val="single" w:sz="4" w:space="0" w:color="auto"/>
            </w:tcBorders>
            <w:shd w:val="clear" w:color="000000" w:fill="FFFFFF"/>
            <w:vAlign w:val="center"/>
            <w:hideMark/>
          </w:tcPr>
          <w:p w:rsidR="00E2507D" w:rsidRPr="009D7892" w:rsidP="00E2507D">
            <w:pPr>
              <w:autoSpaceDE/>
              <w:autoSpaceDN/>
              <w:adjustRightInd/>
              <w:spacing w:after="0"/>
              <w:jc w:val="left"/>
              <w:rPr>
                <w:rFonts w:eastAsia="Times New Roman" w:cs="Arial"/>
                <w:sz w:val="22"/>
                <w:szCs w:val="22"/>
                <w:lang w:eastAsia="en-GB"/>
              </w:rPr>
            </w:pPr>
            <w:r w:rsidRPr="009D7892">
              <w:rPr>
                <w:rFonts w:eastAsia="Times New Roman" w:cs="Arial"/>
                <w:sz w:val="22"/>
                <w:szCs w:val="22"/>
                <w:lang w:eastAsia="en-GB"/>
              </w:rPr>
              <w:t>Corporate</w:t>
            </w:r>
          </w:p>
        </w:tc>
        <w:tc>
          <w:tcPr>
            <w:tcW w:w="1243" w:type="dxa"/>
            <w:tcBorders>
              <w:top w:val="nil"/>
              <w:left w:val="single" w:sz="4" w:space="0" w:color="auto"/>
              <w:bottom w:val="single" w:sz="4" w:space="0" w:color="auto"/>
              <w:right w:val="single" w:sz="4" w:space="0" w:color="auto"/>
            </w:tcBorders>
            <w:shd w:val="clear" w:color="auto" w:fill="auto"/>
            <w:vAlign w:val="center"/>
          </w:tcPr>
          <w:p w:rsidR="00E2507D" w:rsidRPr="00422120" w:rsidP="00E2507D">
            <w:pPr>
              <w:spacing w:after="0"/>
              <w:jc w:val="right"/>
              <w:rPr>
                <w:rFonts w:cs="Arial"/>
                <w:sz w:val="22"/>
                <w:szCs w:val="22"/>
                <w:highlight w:val="yellow"/>
              </w:rPr>
            </w:pPr>
            <w:r w:rsidRPr="00422120">
              <w:rPr>
                <w:rFonts w:eastAsia="Times New Roman" w:cs="Arial"/>
                <w:sz w:val="22"/>
                <w:szCs w:val="22"/>
                <w:lang w:eastAsia="en-GB"/>
              </w:rPr>
              <w:t>19.028</w:t>
            </w:r>
          </w:p>
        </w:tc>
        <w:tc>
          <w:tcPr>
            <w:tcW w:w="1023" w:type="dxa"/>
            <w:tcBorders>
              <w:top w:val="nil"/>
              <w:left w:val="single" w:sz="4" w:space="0" w:color="auto"/>
              <w:bottom w:val="single" w:sz="4" w:space="0" w:color="auto"/>
              <w:right w:val="single" w:sz="4" w:space="0" w:color="auto"/>
            </w:tcBorders>
            <w:shd w:val="clear" w:color="auto" w:fill="auto"/>
            <w:vAlign w:val="center"/>
          </w:tcPr>
          <w:p w:rsidR="00E2507D" w:rsidRPr="008B2F5B" w:rsidP="00E2507D">
            <w:pPr>
              <w:spacing w:after="0"/>
              <w:jc w:val="right"/>
              <w:rPr>
                <w:rFonts w:cs="Arial"/>
                <w:sz w:val="22"/>
                <w:szCs w:val="22"/>
              </w:rPr>
            </w:pPr>
            <w:r w:rsidRPr="008B2F5B">
              <w:rPr>
                <w:rFonts w:cs="Arial"/>
                <w:sz w:val="22"/>
                <w:szCs w:val="22"/>
              </w:rPr>
              <w:t>18.616</w:t>
            </w:r>
          </w:p>
        </w:tc>
        <w:tc>
          <w:tcPr>
            <w:tcW w:w="1134" w:type="dxa"/>
            <w:tcBorders>
              <w:top w:val="nil"/>
              <w:left w:val="single" w:sz="4" w:space="0" w:color="auto"/>
              <w:bottom w:val="single" w:sz="4" w:space="0" w:color="auto"/>
              <w:right w:val="single" w:sz="4" w:space="0" w:color="auto"/>
            </w:tcBorders>
            <w:shd w:val="clear" w:color="000000" w:fill="D9D9D9"/>
            <w:vAlign w:val="center"/>
          </w:tcPr>
          <w:p w:rsidR="00E2507D" w:rsidRPr="008B2F5B" w:rsidP="00E2507D">
            <w:pPr>
              <w:spacing w:after="0"/>
              <w:jc w:val="right"/>
              <w:rPr>
                <w:rFonts w:cs="Arial"/>
                <w:sz w:val="22"/>
                <w:szCs w:val="22"/>
              </w:rPr>
            </w:pPr>
            <w:r w:rsidRPr="008B2F5B">
              <w:rPr>
                <w:rFonts w:cs="Arial"/>
                <w:sz w:val="22"/>
                <w:szCs w:val="22"/>
              </w:rPr>
              <w:t>-0.412</w:t>
            </w:r>
          </w:p>
        </w:tc>
        <w:tc>
          <w:tcPr>
            <w:tcW w:w="1134" w:type="dxa"/>
            <w:tcBorders>
              <w:top w:val="nil"/>
              <w:left w:val="single" w:sz="4" w:space="0" w:color="auto"/>
              <w:bottom w:val="single" w:sz="4" w:space="0" w:color="auto"/>
              <w:right w:val="single" w:sz="4" w:space="0" w:color="auto"/>
            </w:tcBorders>
            <w:vAlign w:val="center"/>
          </w:tcPr>
          <w:p w:rsidR="00E2507D" w:rsidRPr="008B2F5B" w:rsidP="00E2507D">
            <w:pPr>
              <w:spacing w:after="0"/>
              <w:ind w:right="-105"/>
              <w:jc w:val="right"/>
              <w:rPr>
                <w:rFonts w:cs="Arial"/>
                <w:sz w:val="22"/>
                <w:szCs w:val="22"/>
              </w:rPr>
            </w:pPr>
            <w:r w:rsidRPr="008B2F5B">
              <w:rPr>
                <w:rFonts w:cs="Arial"/>
                <w:sz w:val="22"/>
                <w:szCs w:val="22"/>
              </w:rPr>
              <w:t>-2.17%</w:t>
            </w:r>
          </w:p>
        </w:tc>
        <w:tc>
          <w:tcPr>
            <w:tcW w:w="1134" w:type="dxa"/>
            <w:tcBorders>
              <w:top w:val="nil"/>
              <w:left w:val="single" w:sz="4" w:space="0" w:color="auto"/>
              <w:bottom w:val="single" w:sz="4" w:space="0" w:color="auto"/>
              <w:right w:val="single" w:sz="4" w:space="0" w:color="auto"/>
            </w:tcBorders>
            <w:shd w:val="clear" w:color="auto" w:fill="auto"/>
            <w:vAlign w:val="center"/>
          </w:tcPr>
          <w:p w:rsidR="00E2507D" w:rsidRPr="008B2F5B" w:rsidP="00E2507D">
            <w:pPr>
              <w:spacing w:after="0"/>
              <w:jc w:val="right"/>
              <w:rPr>
                <w:rFonts w:cs="Arial"/>
                <w:sz w:val="22"/>
                <w:szCs w:val="22"/>
              </w:rPr>
            </w:pPr>
            <w:r w:rsidRPr="008B2F5B">
              <w:rPr>
                <w:rFonts w:cs="Arial"/>
                <w:sz w:val="22"/>
                <w:szCs w:val="22"/>
              </w:rPr>
              <w:t>0.011</w:t>
            </w:r>
          </w:p>
        </w:tc>
      </w:tr>
      <w:tr w:rsidTr="00E2507D">
        <w:tblPrEx>
          <w:tblW w:w="9068" w:type="dxa"/>
          <w:tblLook w:val="04A0"/>
        </w:tblPrEx>
        <w:trPr>
          <w:trHeight w:val="515"/>
        </w:trPr>
        <w:tc>
          <w:tcPr>
            <w:tcW w:w="586" w:type="dxa"/>
            <w:tcBorders>
              <w:top w:val="nil"/>
              <w:left w:val="single" w:sz="4" w:space="0" w:color="auto"/>
              <w:bottom w:val="single" w:sz="4" w:space="0" w:color="auto"/>
              <w:right w:val="single" w:sz="4" w:space="0" w:color="auto"/>
            </w:tcBorders>
            <w:shd w:val="clear" w:color="000000" w:fill="FFFFFF"/>
            <w:vAlign w:val="center"/>
          </w:tcPr>
          <w:p w:rsidR="00E2507D" w:rsidRPr="009D7892" w:rsidP="00E2507D">
            <w:pPr>
              <w:autoSpaceDE/>
              <w:autoSpaceDN/>
              <w:adjustRightInd/>
              <w:spacing w:after="0"/>
              <w:jc w:val="left"/>
              <w:rPr>
                <w:rFonts w:eastAsia="Times New Roman" w:cs="Arial"/>
                <w:b/>
                <w:bCs/>
                <w:sz w:val="22"/>
                <w:szCs w:val="22"/>
                <w:lang w:eastAsia="en-GB"/>
              </w:rPr>
            </w:pPr>
            <w:r w:rsidRPr="009D7892">
              <w:rPr>
                <w:rFonts w:eastAsia="Times New Roman" w:cs="Arial"/>
                <w:b/>
                <w:bCs/>
                <w:sz w:val="22"/>
                <w:szCs w:val="22"/>
                <w:lang w:eastAsia="en-GB"/>
              </w:rPr>
              <w:t>3.9</w:t>
            </w:r>
          </w:p>
        </w:tc>
        <w:tc>
          <w:tcPr>
            <w:tcW w:w="2814" w:type="dxa"/>
            <w:tcBorders>
              <w:top w:val="nil"/>
              <w:left w:val="nil"/>
              <w:bottom w:val="single" w:sz="4" w:space="0" w:color="auto"/>
              <w:right w:val="single" w:sz="4" w:space="0" w:color="auto"/>
            </w:tcBorders>
            <w:shd w:val="clear" w:color="000000" w:fill="FFFFFF"/>
            <w:vAlign w:val="center"/>
          </w:tcPr>
          <w:p w:rsidR="00E2507D" w:rsidRPr="009D7892" w:rsidP="00E2507D">
            <w:pPr>
              <w:autoSpaceDE/>
              <w:autoSpaceDN/>
              <w:adjustRightInd/>
              <w:spacing w:after="0"/>
              <w:jc w:val="left"/>
              <w:rPr>
                <w:rFonts w:eastAsia="Times New Roman" w:cs="Arial"/>
                <w:sz w:val="22"/>
                <w:szCs w:val="22"/>
                <w:lang w:eastAsia="en-GB"/>
              </w:rPr>
            </w:pPr>
            <w:r w:rsidRPr="009D7892">
              <w:rPr>
                <w:rFonts w:eastAsia="Times New Roman" w:cs="Arial"/>
                <w:sz w:val="22"/>
                <w:szCs w:val="22"/>
                <w:lang w:eastAsia="en-GB"/>
              </w:rPr>
              <w:t>Strategy and Performance</w:t>
            </w:r>
          </w:p>
        </w:tc>
        <w:tc>
          <w:tcPr>
            <w:tcW w:w="1243" w:type="dxa"/>
            <w:tcBorders>
              <w:top w:val="nil"/>
              <w:left w:val="single" w:sz="4" w:space="0" w:color="auto"/>
              <w:bottom w:val="single" w:sz="4" w:space="0" w:color="auto"/>
              <w:right w:val="single" w:sz="4" w:space="0" w:color="auto"/>
            </w:tcBorders>
            <w:shd w:val="clear" w:color="auto" w:fill="auto"/>
            <w:vAlign w:val="center"/>
          </w:tcPr>
          <w:p w:rsidR="00E2507D" w:rsidRPr="00422120" w:rsidP="00E2507D">
            <w:pPr>
              <w:spacing w:after="0"/>
              <w:jc w:val="right"/>
              <w:rPr>
                <w:rFonts w:cs="Arial"/>
                <w:sz w:val="22"/>
                <w:szCs w:val="22"/>
                <w:highlight w:val="yellow"/>
              </w:rPr>
            </w:pPr>
            <w:r w:rsidRPr="00422120">
              <w:rPr>
                <w:rFonts w:eastAsia="Times New Roman" w:cs="Arial"/>
                <w:sz w:val="22"/>
                <w:szCs w:val="22"/>
                <w:lang w:eastAsia="en-GB"/>
              </w:rPr>
              <w:t>31.096</w:t>
            </w:r>
          </w:p>
        </w:tc>
        <w:tc>
          <w:tcPr>
            <w:tcW w:w="1023" w:type="dxa"/>
            <w:tcBorders>
              <w:top w:val="nil"/>
              <w:left w:val="single" w:sz="4" w:space="0" w:color="auto"/>
              <w:bottom w:val="single" w:sz="4" w:space="0" w:color="auto"/>
              <w:right w:val="single" w:sz="4" w:space="0" w:color="auto"/>
            </w:tcBorders>
            <w:shd w:val="clear" w:color="auto" w:fill="auto"/>
            <w:vAlign w:val="center"/>
          </w:tcPr>
          <w:p w:rsidR="00E2507D" w:rsidRPr="008B2F5B" w:rsidP="00E2507D">
            <w:pPr>
              <w:spacing w:after="0"/>
              <w:jc w:val="right"/>
              <w:rPr>
                <w:rFonts w:cs="Arial"/>
                <w:sz w:val="22"/>
                <w:szCs w:val="22"/>
              </w:rPr>
            </w:pPr>
            <w:r w:rsidRPr="008B2F5B">
              <w:rPr>
                <w:rFonts w:cs="Arial"/>
                <w:sz w:val="22"/>
                <w:szCs w:val="22"/>
              </w:rPr>
              <w:t>33.601</w:t>
            </w:r>
          </w:p>
        </w:tc>
        <w:tc>
          <w:tcPr>
            <w:tcW w:w="1134" w:type="dxa"/>
            <w:tcBorders>
              <w:top w:val="nil"/>
              <w:left w:val="single" w:sz="4" w:space="0" w:color="auto"/>
              <w:bottom w:val="single" w:sz="4" w:space="0" w:color="auto"/>
              <w:right w:val="single" w:sz="4" w:space="0" w:color="auto"/>
            </w:tcBorders>
            <w:shd w:val="clear" w:color="000000" w:fill="D9D9D9"/>
            <w:vAlign w:val="center"/>
          </w:tcPr>
          <w:p w:rsidR="00E2507D" w:rsidRPr="008B2F5B" w:rsidP="00E2507D">
            <w:pPr>
              <w:spacing w:after="0"/>
              <w:jc w:val="right"/>
              <w:rPr>
                <w:rFonts w:cs="Arial"/>
                <w:sz w:val="22"/>
                <w:szCs w:val="22"/>
              </w:rPr>
            </w:pPr>
            <w:r w:rsidRPr="008B2F5B">
              <w:rPr>
                <w:rFonts w:cs="Arial"/>
                <w:sz w:val="22"/>
                <w:szCs w:val="22"/>
              </w:rPr>
              <w:t>2.505</w:t>
            </w:r>
          </w:p>
        </w:tc>
        <w:tc>
          <w:tcPr>
            <w:tcW w:w="1134" w:type="dxa"/>
            <w:tcBorders>
              <w:top w:val="nil"/>
              <w:left w:val="single" w:sz="4" w:space="0" w:color="auto"/>
              <w:bottom w:val="single" w:sz="4" w:space="0" w:color="auto"/>
              <w:right w:val="single" w:sz="4" w:space="0" w:color="auto"/>
            </w:tcBorders>
            <w:vAlign w:val="center"/>
          </w:tcPr>
          <w:p w:rsidR="00E2507D" w:rsidRPr="008B2F5B" w:rsidP="00E2507D">
            <w:pPr>
              <w:spacing w:after="0"/>
              <w:ind w:right="-105"/>
              <w:jc w:val="right"/>
              <w:rPr>
                <w:rFonts w:cs="Arial"/>
                <w:sz w:val="22"/>
                <w:szCs w:val="22"/>
              </w:rPr>
            </w:pPr>
            <w:r w:rsidRPr="008B2F5B">
              <w:rPr>
                <w:rFonts w:cs="Arial"/>
                <w:sz w:val="22"/>
                <w:szCs w:val="22"/>
              </w:rPr>
              <w:t>8.06%</w:t>
            </w:r>
          </w:p>
        </w:tc>
        <w:tc>
          <w:tcPr>
            <w:tcW w:w="1134" w:type="dxa"/>
            <w:tcBorders>
              <w:top w:val="nil"/>
              <w:left w:val="single" w:sz="4" w:space="0" w:color="auto"/>
              <w:bottom w:val="single" w:sz="4" w:space="0" w:color="auto"/>
              <w:right w:val="single" w:sz="4" w:space="0" w:color="auto"/>
            </w:tcBorders>
            <w:shd w:val="clear" w:color="auto" w:fill="auto"/>
            <w:vAlign w:val="center"/>
          </w:tcPr>
          <w:p w:rsidR="00E2507D" w:rsidRPr="008B2F5B" w:rsidP="00E2507D">
            <w:pPr>
              <w:spacing w:after="0"/>
              <w:jc w:val="right"/>
              <w:rPr>
                <w:rFonts w:cs="Arial"/>
                <w:sz w:val="22"/>
                <w:szCs w:val="22"/>
              </w:rPr>
            </w:pPr>
            <w:r w:rsidRPr="008B2F5B">
              <w:rPr>
                <w:rFonts w:cs="Arial"/>
                <w:sz w:val="22"/>
                <w:szCs w:val="22"/>
              </w:rPr>
              <w:t>0.967</w:t>
            </w:r>
          </w:p>
        </w:tc>
      </w:tr>
      <w:tr w:rsidTr="00E2507D">
        <w:tblPrEx>
          <w:tblW w:w="9068" w:type="dxa"/>
          <w:tblLook w:val="04A0"/>
        </w:tblPrEx>
        <w:trPr>
          <w:trHeight w:val="515"/>
        </w:trPr>
        <w:tc>
          <w:tcPr>
            <w:tcW w:w="586" w:type="dxa"/>
            <w:tcBorders>
              <w:top w:val="nil"/>
              <w:left w:val="single" w:sz="4" w:space="0" w:color="auto"/>
              <w:bottom w:val="single" w:sz="4" w:space="0" w:color="auto"/>
              <w:right w:val="single" w:sz="4" w:space="0" w:color="auto"/>
            </w:tcBorders>
            <w:shd w:val="clear" w:color="000000" w:fill="FFFFFF"/>
            <w:vAlign w:val="center"/>
            <w:hideMark/>
          </w:tcPr>
          <w:p w:rsidR="00E2507D" w:rsidRPr="009D7892" w:rsidP="00E2507D">
            <w:pPr>
              <w:autoSpaceDE/>
              <w:autoSpaceDN/>
              <w:adjustRightInd/>
              <w:spacing w:after="0"/>
              <w:jc w:val="left"/>
              <w:rPr>
                <w:rFonts w:eastAsia="Times New Roman" w:cs="Arial"/>
                <w:b/>
                <w:bCs/>
                <w:sz w:val="22"/>
                <w:szCs w:val="22"/>
                <w:lang w:eastAsia="en-GB"/>
              </w:rPr>
            </w:pPr>
            <w:r w:rsidRPr="009D7892">
              <w:rPr>
                <w:rFonts w:eastAsia="Times New Roman" w:cs="Arial"/>
                <w:b/>
                <w:bCs/>
                <w:sz w:val="22"/>
                <w:szCs w:val="22"/>
                <w:lang w:eastAsia="en-GB"/>
              </w:rPr>
              <w:t>4.0</w:t>
            </w:r>
          </w:p>
        </w:tc>
        <w:tc>
          <w:tcPr>
            <w:tcW w:w="2814" w:type="dxa"/>
            <w:tcBorders>
              <w:top w:val="nil"/>
              <w:left w:val="nil"/>
              <w:bottom w:val="single" w:sz="4" w:space="0" w:color="auto"/>
              <w:right w:val="single" w:sz="4" w:space="0" w:color="auto"/>
            </w:tcBorders>
            <w:shd w:val="clear" w:color="000000" w:fill="FFFFFF"/>
            <w:vAlign w:val="center"/>
            <w:hideMark/>
          </w:tcPr>
          <w:p w:rsidR="00E2507D" w:rsidRPr="009D7892" w:rsidP="00E2507D">
            <w:pPr>
              <w:autoSpaceDE/>
              <w:autoSpaceDN/>
              <w:adjustRightInd/>
              <w:spacing w:after="0"/>
              <w:jc w:val="left"/>
              <w:rPr>
                <w:rFonts w:eastAsia="Times New Roman" w:cs="Arial"/>
                <w:sz w:val="22"/>
                <w:szCs w:val="22"/>
                <w:lang w:eastAsia="en-GB"/>
              </w:rPr>
            </w:pPr>
            <w:r w:rsidRPr="009D7892">
              <w:rPr>
                <w:rFonts w:eastAsia="Times New Roman" w:cs="Arial"/>
                <w:sz w:val="22"/>
                <w:szCs w:val="22"/>
                <w:lang w:eastAsia="en-GB"/>
              </w:rPr>
              <w:t>Chief Executive Services</w:t>
            </w:r>
          </w:p>
        </w:tc>
        <w:tc>
          <w:tcPr>
            <w:tcW w:w="1243" w:type="dxa"/>
            <w:tcBorders>
              <w:top w:val="single" w:sz="8" w:space="0" w:color="auto"/>
              <w:left w:val="single" w:sz="4" w:space="0" w:color="auto"/>
              <w:bottom w:val="nil"/>
              <w:right w:val="single" w:sz="4" w:space="0" w:color="auto"/>
            </w:tcBorders>
            <w:shd w:val="clear" w:color="auto" w:fill="auto"/>
            <w:vAlign w:val="center"/>
          </w:tcPr>
          <w:p w:rsidR="00E2507D" w:rsidRPr="00422120" w:rsidP="00E2507D">
            <w:pPr>
              <w:spacing w:after="0"/>
              <w:jc w:val="right"/>
              <w:rPr>
                <w:rFonts w:cs="Arial"/>
                <w:sz w:val="22"/>
                <w:szCs w:val="22"/>
                <w:highlight w:val="yellow"/>
              </w:rPr>
            </w:pPr>
            <w:r w:rsidRPr="00422120">
              <w:rPr>
                <w:rFonts w:eastAsia="Times New Roman" w:cs="Arial"/>
                <w:sz w:val="22"/>
                <w:szCs w:val="22"/>
                <w:lang w:eastAsia="en-GB"/>
              </w:rPr>
              <w:t>44.617</w:t>
            </w:r>
          </w:p>
        </w:tc>
        <w:tc>
          <w:tcPr>
            <w:tcW w:w="1023" w:type="dxa"/>
            <w:tcBorders>
              <w:top w:val="single" w:sz="8" w:space="0" w:color="auto"/>
              <w:left w:val="single" w:sz="4" w:space="0" w:color="auto"/>
              <w:bottom w:val="nil"/>
              <w:right w:val="single" w:sz="4" w:space="0" w:color="auto"/>
            </w:tcBorders>
            <w:shd w:val="clear" w:color="auto" w:fill="auto"/>
            <w:vAlign w:val="center"/>
          </w:tcPr>
          <w:p w:rsidR="00E2507D" w:rsidRPr="008B2F5B" w:rsidP="00E2507D">
            <w:pPr>
              <w:spacing w:after="0"/>
              <w:jc w:val="right"/>
              <w:rPr>
                <w:rFonts w:cs="Arial"/>
                <w:sz w:val="22"/>
                <w:szCs w:val="22"/>
              </w:rPr>
            </w:pPr>
            <w:r w:rsidRPr="008B2F5B">
              <w:rPr>
                <w:rFonts w:cs="Arial"/>
                <w:sz w:val="22"/>
                <w:szCs w:val="22"/>
              </w:rPr>
              <w:t>15.333</w:t>
            </w:r>
          </w:p>
        </w:tc>
        <w:tc>
          <w:tcPr>
            <w:tcW w:w="1134" w:type="dxa"/>
            <w:tcBorders>
              <w:top w:val="single" w:sz="8" w:space="0" w:color="auto"/>
              <w:left w:val="single" w:sz="4" w:space="0" w:color="auto"/>
              <w:bottom w:val="nil"/>
              <w:right w:val="single" w:sz="4" w:space="0" w:color="auto"/>
            </w:tcBorders>
            <w:shd w:val="clear" w:color="000000" w:fill="D9D9D9"/>
            <w:vAlign w:val="center"/>
          </w:tcPr>
          <w:p w:rsidR="00E2507D" w:rsidRPr="008B2F5B" w:rsidP="00E2507D">
            <w:pPr>
              <w:spacing w:after="0"/>
              <w:jc w:val="right"/>
              <w:rPr>
                <w:rFonts w:cs="Arial"/>
                <w:sz w:val="22"/>
                <w:szCs w:val="22"/>
              </w:rPr>
            </w:pPr>
            <w:r w:rsidRPr="008B2F5B">
              <w:rPr>
                <w:rFonts w:cs="Arial"/>
                <w:sz w:val="22"/>
                <w:szCs w:val="22"/>
              </w:rPr>
              <w:t>-29.284</w:t>
            </w:r>
          </w:p>
        </w:tc>
        <w:tc>
          <w:tcPr>
            <w:tcW w:w="1134" w:type="dxa"/>
            <w:tcBorders>
              <w:top w:val="single" w:sz="8" w:space="0" w:color="auto"/>
              <w:left w:val="single" w:sz="4" w:space="0" w:color="auto"/>
              <w:bottom w:val="nil"/>
              <w:right w:val="single" w:sz="4" w:space="0" w:color="auto"/>
            </w:tcBorders>
            <w:vAlign w:val="center"/>
          </w:tcPr>
          <w:p w:rsidR="00E2507D" w:rsidRPr="008B2F5B" w:rsidP="00E2507D">
            <w:pPr>
              <w:spacing w:after="0"/>
              <w:ind w:right="-105"/>
              <w:jc w:val="right"/>
              <w:rPr>
                <w:rFonts w:cs="Arial"/>
                <w:sz w:val="22"/>
                <w:szCs w:val="22"/>
              </w:rPr>
            </w:pPr>
            <w:r w:rsidRPr="008B2F5B">
              <w:rPr>
                <w:rFonts w:cs="Arial"/>
                <w:sz w:val="22"/>
                <w:szCs w:val="22"/>
              </w:rPr>
              <w:t>-65.63%</w:t>
            </w:r>
          </w:p>
        </w:tc>
        <w:tc>
          <w:tcPr>
            <w:tcW w:w="1134" w:type="dxa"/>
            <w:tcBorders>
              <w:top w:val="single" w:sz="8" w:space="0" w:color="auto"/>
              <w:left w:val="single" w:sz="4" w:space="0" w:color="auto"/>
              <w:bottom w:val="nil"/>
              <w:right w:val="single" w:sz="4" w:space="0" w:color="auto"/>
            </w:tcBorders>
            <w:shd w:val="clear" w:color="auto" w:fill="auto"/>
            <w:vAlign w:val="center"/>
          </w:tcPr>
          <w:p w:rsidR="00E2507D" w:rsidRPr="008B2F5B" w:rsidP="00E2507D">
            <w:pPr>
              <w:spacing w:after="0"/>
              <w:jc w:val="right"/>
              <w:rPr>
                <w:rFonts w:cs="Arial"/>
                <w:sz w:val="22"/>
                <w:szCs w:val="22"/>
              </w:rPr>
            </w:pPr>
            <w:r w:rsidRPr="008B2F5B">
              <w:rPr>
                <w:rFonts w:cs="Arial"/>
                <w:sz w:val="22"/>
                <w:szCs w:val="22"/>
              </w:rPr>
              <w:t>-28.793</w:t>
            </w:r>
          </w:p>
        </w:tc>
      </w:tr>
      <w:tr w:rsidTr="00E2507D">
        <w:tblPrEx>
          <w:tblW w:w="9068" w:type="dxa"/>
          <w:tblLook w:val="04A0"/>
        </w:tblPrEx>
        <w:trPr>
          <w:trHeight w:val="515"/>
        </w:trPr>
        <w:tc>
          <w:tcPr>
            <w:tcW w:w="586" w:type="dxa"/>
            <w:tcBorders>
              <w:top w:val="nil"/>
              <w:left w:val="single" w:sz="4" w:space="0" w:color="auto"/>
              <w:bottom w:val="single" w:sz="4" w:space="0" w:color="auto"/>
              <w:right w:val="single" w:sz="4" w:space="0" w:color="auto"/>
            </w:tcBorders>
            <w:shd w:val="clear" w:color="000000" w:fill="D9D9D9"/>
            <w:vAlign w:val="center"/>
            <w:hideMark/>
          </w:tcPr>
          <w:p w:rsidR="00E2507D" w:rsidRPr="009D7892" w:rsidP="00E2507D">
            <w:pPr>
              <w:autoSpaceDE/>
              <w:autoSpaceDN/>
              <w:adjustRightInd/>
              <w:spacing w:after="0"/>
              <w:jc w:val="left"/>
              <w:rPr>
                <w:rFonts w:eastAsia="Times New Roman" w:cs="Arial"/>
                <w:b/>
                <w:bCs/>
                <w:sz w:val="22"/>
                <w:szCs w:val="22"/>
                <w:lang w:eastAsia="en-GB"/>
              </w:rPr>
            </w:pPr>
            <w:r w:rsidRPr="009D7892">
              <w:rPr>
                <w:rFonts w:eastAsia="Times New Roman" w:cs="Arial"/>
                <w:b/>
                <w:bCs/>
                <w:sz w:val="22"/>
                <w:szCs w:val="22"/>
                <w:lang w:eastAsia="en-GB"/>
              </w:rPr>
              <w:t> </w:t>
            </w:r>
          </w:p>
        </w:tc>
        <w:tc>
          <w:tcPr>
            <w:tcW w:w="2814" w:type="dxa"/>
            <w:tcBorders>
              <w:top w:val="nil"/>
              <w:left w:val="nil"/>
              <w:bottom w:val="single" w:sz="4" w:space="0" w:color="auto"/>
              <w:right w:val="single" w:sz="4" w:space="0" w:color="auto"/>
            </w:tcBorders>
            <w:shd w:val="clear" w:color="000000" w:fill="D9D9D9"/>
            <w:vAlign w:val="center"/>
            <w:hideMark/>
          </w:tcPr>
          <w:p w:rsidR="00E2507D" w:rsidRPr="009D7892" w:rsidP="00E2507D">
            <w:pPr>
              <w:autoSpaceDE/>
              <w:autoSpaceDN/>
              <w:adjustRightInd/>
              <w:spacing w:after="0"/>
              <w:jc w:val="left"/>
              <w:rPr>
                <w:rFonts w:eastAsia="Times New Roman" w:cs="Arial"/>
                <w:b/>
                <w:bCs/>
                <w:sz w:val="22"/>
                <w:szCs w:val="22"/>
                <w:lang w:eastAsia="en-GB"/>
              </w:rPr>
            </w:pPr>
            <w:r w:rsidRPr="009D7892">
              <w:rPr>
                <w:rFonts w:eastAsia="Times New Roman" w:cs="Arial"/>
                <w:b/>
                <w:bCs/>
                <w:sz w:val="22"/>
                <w:szCs w:val="22"/>
                <w:lang w:eastAsia="en-GB"/>
              </w:rPr>
              <w:t>TOTAL</w:t>
            </w:r>
          </w:p>
        </w:tc>
        <w:tc>
          <w:tcPr>
            <w:tcW w:w="124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E2507D" w:rsidRPr="00422120" w:rsidP="00E2507D">
            <w:pPr>
              <w:spacing w:after="0"/>
              <w:jc w:val="right"/>
              <w:rPr>
                <w:rFonts w:cs="Arial"/>
                <w:b/>
                <w:bCs/>
                <w:sz w:val="22"/>
                <w:szCs w:val="22"/>
                <w:highlight w:val="yellow"/>
              </w:rPr>
            </w:pPr>
            <w:r w:rsidRPr="00422120">
              <w:rPr>
                <w:rFonts w:eastAsia="Times New Roman" w:cs="Arial"/>
                <w:b/>
                <w:sz w:val="22"/>
                <w:szCs w:val="22"/>
                <w:lang w:eastAsia="en-GB"/>
              </w:rPr>
              <w:t>802.275</w:t>
            </w:r>
          </w:p>
        </w:tc>
        <w:tc>
          <w:tcPr>
            <w:tcW w:w="102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E2507D" w:rsidRPr="008B2F5B" w:rsidP="00E2507D">
            <w:pPr>
              <w:spacing w:after="0"/>
              <w:jc w:val="right"/>
              <w:rPr>
                <w:rFonts w:cs="Arial"/>
                <w:b/>
                <w:bCs/>
                <w:sz w:val="22"/>
                <w:szCs w:val="22"/>
              </w:rPr>
            </w:pPr>
            <w:r w:rsidRPr="008B2F5B">
              <w:rPr>
                <w:rFonts w:cs="Arial"/>
                <w:b/>
                <w:bCs/>
                <w:sz w:val="22"/>
                <w:szCs w:val="22"/>
              </w:rPr>
              <w:t>800.534</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E2507D" w:rsidRPr="008B2F5B" w:rsidP="00E2507D">
            <w:pPr>
              <w:spacing w:after="0"/>
              <w:jc w:val="right"/>
              <w:rPr>
                <w:rFonts w:cs="Arial"/>
                <w:b/>
                <w:bCs/>
                <w:sz w:val="22"/>
                <w:szCs w:val="22"/>
              </w:rPr>
            </w:pPr>
            <w:r w:rsidRPr="008B2F5B">
              <w:rPr>
                <w:rFonts w:cs="Arial"/>
                <w:b/>
                <w:bCs/>
                <w:sz w:val="22"/>
                <w:szCs w:val="22"/>
              </w:rPr>
              <w:t>-1.741</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rsidR="00E2507D" w:rsidRPr="008B2F5B" w:rsidP="00E2507D">
            <w:pPr>
              <w:spacing w:after="0"/>
              <w:ind w:right="-105"/>
              <w:jc w:val="right"/>
              <w:rPr>
                <w:rFonts w:cs="Arial"/>
                <w:b/>
                <w:bCs/>
                <w:sz w:val="22"/>
                <w:szCs w:val="22"/>
              </w:rPr>
            </w:pPr>
            <w:r w:rsidRPr="008B2F5B">
              <w:rPr>
                <w:rFonts w:cs="Arial"/>
                <w:b/>
                <w:bCs/>
                <w:sz w:val="22"/>
                <w:szCs w:val="22"/>
              </w:rPr>
              <w:t>-0.22%</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E2507D" w:rsidRPr="008B2F5B" w:rsidP="00E2507D">
            <w:pPr>
              <w:spacing w:after="0"/>
              <w:jc w:val="right"/>
              <w:rPr>
                <w:rFonts w:cs="Arial"/>
                <w:b/>
                <w:bCs/>
                <w:sz w:val="22"/>
                <w:szCs w:val="22"/>
              </w:rPr>
            </w:pPr>
            <w:r w:rsidRPr="008B2F5B">
              <w:rPr>
                <w:rFonts w:cs="Arial"/>
                <w:b/>
                <w:bCs/>
                <w:sz w:val="22"/>
                <w:szCs w:val="22"/>
              </w:rPr>
              <w:t>-13.508</w:t>
            </w:r>
          </w:p>
        </w:tc>
      </w:tr>
    </w:tbl>
    <w:p w:rsidR="00E2507D" w:rsidRPr="00506BBC" w:rsidP="00E2507D">
      <w:pPr>
        <w:spacing w:after="0"/>
        <w:rPr>
          <w:rFonts w:cs="Arial"/>
          <w:highlight w:val="yellow"/>
        </w:rPr>
      </w:pPr>
    </w:p>
    <w:p w:rsidR="00E2507D" w:rsidRPr="009D7892" w:rsidP="00E2507D">
      <w:pPr>
        <w:spacing w:after="0"/>
        <w:rPr>
          <w:rFonts w:cs="Arial"/>
        </w:rPr>
      </w:pPr>
      <w:r w:rsidRPr="009D7892">
        <w:rPr>
          <w:rFonts w:cs="Arial"/>
        </w:rPr>
        <w:t xml:space="preserve">The final outturn position for 2019/20 is net expenditure of </w:t>
      </w:r>
      <w:r w:rsidRPr="00621823">
        <w:rPr>
          <w:rFonts w:cs="Arial"/>
        </w:rPr>
        <w:t xml:space="preserve">£800.534m, reflecting an in year underspend of £1.741m being 0.22% of the budget. </w:t>
      </w:r>
      <w:r w:rsidRPr="009D7892">
        <w:rPr>
          <w:rFonts w:cs="Arial"/>
        </w:rPr>
        <w:t xml:space="preserve">The </w:t>
      </w:r>
      <w:r>
        <w:rPr>
          <w:rFonts w:cs="Arial"/>
        </w:rPr>
        <w:t xml:space="preserve">underspend </w:t>
      </w:r>
      <w:r w:rsidRPr="009D7892">
        <w:rPr>
          <w:rFonts w:cs="Arial"/>
        </w:rPr>
        <w:t xml:space="preserve">has </w:t>
      </w:r>
      <w:r>
        <w:rPr>
          <w:rFonts w:cs="Arial"/>
        </w:rPr>
        <w:t xml:space="preserve">reduced </w:t>
      </w:r>
      <w:r w:rsidRPr="00461905">
        <w:rPr>
          <w:rFonts w:cs="Arial"/>
        </w:rPr>
        <w:t xml:space="preserve">by £11.767m </w:t>
      </w:r>
      <w:r w:rsidRPr="009D7892">
        <w:rPr>
          <w:rFonts w:cs="Arial"/>
        </w:rPr>
        <w:t xml:space="preserve">compared to the position reported to Cabinet as at the end of December 2019.  </w:t>
      </w:r>
    </w:p>
    <w:p w:rsidR="00E2507D" w:rsidRPr="00506BBC" w:rsidP="00E2507D">
      <w:pPr>
        <w:spacing w:after="0"/>
        <w:rPr>
          <w:rFonts w:cs="Arial"/>
          <w:highlight w:val="yellow"/>
        </w:rPr>
      </w:pPr>
    </w:p>
    <w:p w:rsidR="00E2507D" w:rsidRPr="009D7892" w:rsidP="00E2507D">
      <w:pPr>
        <w:spacing w:after="0"/>
        <w:rPr>
          <w:rFonts w:cs="Arial"/>
        </w:rPr>
      </w:pPr>
      <w:r w:rsidRPr="009D7892">
        <w:rPr>
          <w:rFonts w:cs="Arial"/>
        </w:rPr>
        <w:t>The most significant areas of change compared to the forecast presented to Cabinet at Quarter 3 are:</w:t>
      </w:r>
    </w:p>
    <w:p w:rsidR="00E2507D" w:rsidRPr="00506BBC" w:rsidP="00E2507D">
      <w:pPr>
        <w:spacing w:after="0"/>
        <w:rPr>
          <w:rFonts w:cs="Arial"/>
          <w:highlight w:val="yellow"/>
        </w:rPr>
      </w:pPr>
    </w:p>
    <w:p w:rsidR="00E2507D" w:rsidP="00E2507D">
      <w:pPr>
        <w:pStyle w:val="ListParagraph"/>
        <w:numPr>
          <w:ilvl w:val="0"/>
          <w:numId w:val="25"/>
        </w:numPr>
        <w:spacing w:after="0"/>
        <w:rPr>
          <w:rFonts w:cs="Arial"/>
        </w:rPr>
      </w:pPr>
      <w:r>
        <w:rPr>
          <w:rFonts w:cs="Arial"/>
        </w:rPr>
        <w:t>The a</w:t>
      </w:r>
      <w:r w:rsidRPr="00585BEE">
        <w:rPr>
          <w:rFonts w:cs="Arial"/>
        </w:rPr>
        <w:t>pplication of an agreed risk sharing agreement covering significant budget pressures for some Clinical Commissioning Groups (CCG's) in areas which have significant overlaps with services within t</w:t>
      </w:r>
      <w:r>
        <w:rPr>
          <w:rFonts w:cs="Arial"/>
        </w:rPr>
        <w:t xml:space="preserve">he scope of the pooled </w:t>
      </w:r>
      <w:r w:rsidRPr="00585BEE">
        <w:rPr>
          <w:rFonts w:cs="Arial"/>
        </w:rPr>
        <w:t>Better Care Fund / Improved Better Care Fund (BCF/iBCF) arrangements.  The risk share agreement arrangement was still being discussed at the time of the last Money Matters update to Cabinet on 6</w:t>
      </w:r>
      <w:r w:rsidRPr="00585BEE">
        <w:rPr>
          <w:rFonts w:cs="Arial"/>
          <w:vertAlign w:val="superscript"/>
        </w:rPr>
        <w:t>th</w:t>
      </w:r>
      <w:r w:rsidRPr="00585BEE">
        <w:rPr>
          <w:rFonts w:cs="Arial"/>
        </w:rPr>
        <w:t xml:space="preserve"> February 2020.  It was noted in that report that the forecast outturn position could change by up to £16m if the risk share agreement was agreed and applied in 2019/20</w:t>
      </w:r>
    </w:p>
    <w:p w:rsidR="00E2507D" w:rsidP="00E2507D">
      <w:pPr>
        <w:pStyle w:val="ListParagraph"/>
        <w:spacing w:after="0"/>
        <w:rPr>
          <w:rFonts w:cs="Arial"/>
        </w:rPr>
      </w:pPr>
    </w:p>
    <w:p w:rsidR="00E2507D" w:rsidP="00E2507D">
      <w:pPr>
        <w:pStyle w:val="ListParagraph"/>
        <w:numPr>
          <w:ilvl w:val="0"/>
          <w:numId w:val="25"/>
        </w:numPr>
        <w:spacing w:after="0"/>
        <w:rPr>
          <w:rFonts w:cs="Arial"/>
        </w:rPr>
      </w:pPr>
      <w:r w:rsidRPr="00585BEE">
        <w:rPr>
          <w:rFonts w:cs="Arial"/>
        </w:rPr>
        <w:t xml:space="preserve">An additional one-off contribution of £12.493m was subsequently agreed and made in 2019/20 to support the Central and East CCGs.  The additional contribution was to mitigate pressures across the health and social care system in 2019/20 and whilst there is no obligation for this to be repaid by the CCG's in 2020/21, the risk share agreement will remain in place during 2020/21 with any future application being subject to discussion during the year regarding the </w:t>
      </w:r>
      <w:r w:rsidRPr="00585BEE">
        <w:rPr>
          <w:rFonts w:cs="Arial"/>
        </w:rPr>
        <w:t>relative financial challenges for each of the organisations and the health and social care system as a whole.</w:t>
      </w:r>
    </w:p>
    <w:p w:rsidR="00E2507D" w:rsidP="00E2507D">
      <w:pPr>
        <w:pStyle w:val="ListParagraph"/>
        <w:spacing w:after="0"/>
        <w:rPr>
          <w:rFonts w:cs="Arial"/>
        </w:rPr>
      </w:pPr>
    </w:p>
    <w:p w:rsidR="00E2507D" w:rsidP="00E2507D">
      <w:pPr>
        <w:pStyle w:val="ListParagraph"/>
        <w:numPr>
          <w:ilvl w:val="0"/>
          <w:numId w:val="25"/>
        </w:numPr>
        <w:spacing w:after="0"/>
        <w:rPr>
          <w:rFonts w:cs="Arial"/>
        </w:rPr>
      </w:pPr>
      <w:r>
        <w:rPr>
          <w:rFonts w:cs="Arial"/>
        </w:rPr>
        <w:t>There is a</w:t>
      </w:r>
      <w:r w:rsidRPr="00660694">
        <w:rPr>
          <w:rFonts w:cs="Arial"/>
        </w:rPr>
        <w:t xml:space="preserve">n </w:t>
      </w:r>
      <w:r>
        <w:rPr>
          <w:rFonts w:cs="Arial"/>
        </w:rPr>
        <w:t xml:space="preserve">increased </w:t>
      </w:r>
      <w:r w:rsidRPr="00660694">
        <w:rPr>
          <w:rFonts w:cs="Arial"/>
        </w:rPr>
        <w:t xml:space="preserve">overspend across Adult Services, due to additional costs which are partially mitigated by increased income, of £1.350m. </w:t>
      </w:r>
    </w:p>
    <w:p w:rsidR="00E2507D" w:rsidRPr="00F07A15" w:rsidP="00711F8A">
      <w:pPr>
        <w:spacing w:after="0"/>
        <w:rPr>
          <w:rFonts w:cs="Arial"/>
        </w:rPr>
      </w:pPr>
    </w:p>
    <w:p w:rsidR="00E2507D" w:rsidP="00711F8A">
      <w:pPr>
        <w:pStyle w:val="ListParagraph"/>
        <w:numPr>
          <w:ilvl w:val="0"/>
          <w:numId w:val="25"/>
        </w:numPr>
        <w:autoSpaceDE/>
        <w:autoSpaceDN/>
        <w:adjustRightInd/>
        <w:spacing w:after="0"/>
      </w:pPr>
      <w:r w:rsidRPr="0091556C">
        <w:rPr>
          <w:rFonts w:cs="Arial"/>
        </w:rPr>
        <w:t xml:space="preserve">A decreased overspend across Education and Children's Services of £2.891m </w:t>
      </w:r>
      <w:r w:rsidRPr="0091556C">
        <w:t xml:space="preserve">due to increased income. </w:t>
      </w:r>
    </w:p>
    <w:p w:rsidR="00E2507D" w:rsidRPr="0091556C" w:rsidP="00711F8A">
      <w:pPr>
        <w:autoSpaceDE/>
        <w:autoSpaceDN/>
        <w:adjustRightInd/>
        <w:spacing w:after="0"/>
      </w:pPr>
    </w:p>
    <w:p w:rsidR="00E2507D" w:rsidRPr="008A549F" w:rsidP="00711F8A">
      <w:pPr>
        <w:pStyle w:val="ListParagraph"/>
        <w:numPr>
          <w:ilvl w:val="0"/>
          <w:numId w:val="25"/>
        </w:numPr>
        <w:autoSpaceDE/>
        <w:autoSpaceDN/>
        <w:adjustRightInd/>
        <w:spacing w:after="0"/>
      </w:pPr>
      <w:r w:rsidRPr="008A549F">
        <w:t>An increased overspend within Strategy and Performance of £1.538m predominantly within schools catering as a result of a provision for the impacts of the loss of income as a result of school closures in relation to Covid-19 and due to the deci</w:t>
      </w:r>
      <w:r>
        <w:t xml:space="preserve">sion to acquire software from </w:t>
      </w:r>
      <w:r w:rsidRPr="008A549F">
        <w:t>revenue</w:t>
      </w:r>
      <w:r>
        <w:t xml:space="preserve"> funds</w:t>
      </w:r>
      <w:r w:rsidRPr="008A549F">
        <w:t xml:space="preserve"> rather than reserves. </w:t>
      </w:r>
    </w:p>
    <w:p w:rsidR="00E2507D" w:rsidRPr="00506BBC" w:rsidP="00E2507D">
      <w:pPr>
        <w:pStyle w:val="ListParagraph"/>
        <w:autoSpaceDE/>
        <w:autoSpaceDN/>
        <w:adjustRightInd/>
        <w:spacing w:after="0"/>
        <w:jc w:val="left"/>
        <w:rPr>
          <w:highlight w:val="yellow"/>
        </w:rPr>
      </w:pPr>
    </w:p>
    <w:p w:rsidR="00E2507D" w:rsidRPr="00B046CE" w:rsidP="00E2507D">
      <w:pPr>
        <w:autoSpaceDE/>
        <w:autoSpaceDN/>
        <w:adjustRightInd/>
        <w:spacing w:after="0"/>
      </w:pPr>
      <w:r w:rsidRPr="00B046CE">
        <w:t>The graph below shows how the variances have developed over quarterly cabinet reporting during the financial year:</w:t>
      </w:r>
    </w:p>
    <w:p w:rsidR="00E2507D" w:rsidRPr="00506BBC" w:rsidP="00E2507D">
      <w:pPr>
        <w:spacing w:after="0"/>
        <w:rPr>
          <w:rFonts w:cs="Arial"/>
          <w:b/>
          <w:highlight w:val="yellow"/>
          <w:u w:val="single"/>
        </w:rPr>
      </w:pPr>
    </w:p>
    <w:p w:rsidR="00E2507D" w:rsidRPr="00506BBC" w:rsidP="00E2507D">
      <w:pPr>
        <w:spacing w:after="0"/>
        <w:ind w:left="-709" w:firstLine="709"/>
        <w:jc w:val="left"/>
        <w:rPr>
          <w:rFonts w:cs="Arial"/>
          <w:b/>
          <w:highlight w:val="yellow"/>
          <w:u w:val="single"/>
        </w:rPr>
      </w:pPr>
      <w:r w:rsidRPr="0006781F">
        <w:rPr>
          <w:rFonts w:cs="Arial"/>
          <w:b/>
          <w:noProof/>
          <w:u w:val="single"/>
          <w:lang w:eastAsia="en-GB"/>
        </w:rPr>
        <w:drawing>
          <wp:inline distT="0" distB="0" distL="0" distR="0">
            <wp:extent cx="4718685" cy="2950845"/>
            <wp:effectExtent l="0" t="0" r="571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1282823" name="Picture 2"/>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4718685" cy="2950845"/>
                    </a:xfrm>
                    <a:prstGeom prst="rect">
                      <a:avLst/>
                    </a:prstGeom>
                    <a:noFill/>
                  </pic:spPr>
                </pic:pic>
              </a:graphicData>
            </a:graphic>
          </wp:inline>
        </w:drawing>
      </w:r>
      <w:r w:rsidRPr="00506BBC">
        <w:rPr>
          <w:rFonts w:cs="Arial"/>
          <w:b/>
          <w:highlight w:val="yellow"/>
          <w:u w:val="single"/>
        </w:rPr>
        <w:br w:type="page"/>
      </w:r>
    </w:p>
    <w:p w:rsidR="00E2507D" w:rsidRPr="009D7892" w:rsidP="00E2507D">
      <w:pPr>
        <w:spacing w:after="0"/>
        <w:rPr>
          <w:rFonts w:eastAsia="Times New Roman" w:cs="Arial"/>
          <w:b/>
          <w:lang w:eastAsia="en-GB"/>
        </w:rPr>
      </w:pPr>
      <w:r w:rsidRPr="009D7892">
        <w:rPr>
          <w:rFonts w:eastAsia="Times New Roman" w:cs="Arial"/>
          <w:b/>
          <w:lang w:eastAsia="en-GB"/>
        </w:rPr>
        <w:t>3.</w:t>
      </w:r>
      <w:r w:rsidRPr="009D7892">
        <w:rPr>
          <w:rFonts w:eastAsia="Times New Roman" w:cs="Arial"/>
          <w:b/>
          <w:lang w:eastAsia="en-GB"/>
        </w:rPr>
        <w:tab/>
        <w:t>Revenue Budget Outturn Detailed Analysis</w:t>
      </w:r>
    </w:p>
    <w:p w:rsidR="00E2507D" w:rsidRPr="009D7892" w:rsidP="00E2507D">
      <w:pPr>
        <w:spacing w:after="0"/>
        <w:rPr>
          <w:rFonts w:cs="Arial"/>
          <w:b/>
          <w:u w:val="single"/>
        </w:rPr>
      </w:pPr>
    </w:p>
    <w:p w:rsidR="00E2507D" w:rsidRPr="00FB578A" w:rsidP="00E2507D">
      <w:pPr>
        <w:spacing w:after="0"/>
        <w:rPr>
          <w:rFonts w:eastAsia="Times New Roman" w:cs="Arial"/>
          <w:b/>
          <w:lang w:eastAsia="en-GB"/>
        </w:rPr>
      </w:pPr>
      <w:r w:rsidRPr="00FB578A">
        <w:rPr>
          <w:rFonts w:eastAsia="Times New Roman" w:cs="Arial"/>
          <w:b/>
          <w:lang w:eastAsia="en-GB"/>
        </w:rPr>
        <w:t>3.1</w:t>
      </w:r>
      <w:r w:rsidRPr="00FB578A">
        <w:rPr>
          <w:rFonts w:eastAsia="Times New Roman" w:cs="Arial"/>
          <w:b/>
          <w:lang w:eastAsia="en-GB"/>
        </w:rPr>
        <w:tab/>
        <w:t xml:space="preserve">Adult Services </w:t>
      </w:r>
    </w:p>
    <w:p w:rsidR="00E2507D" w:rsidRPr="00FB578A" w:rsidP="00E2507D">
      <w:pPr>
        <w:tabs>
          <w:tab w:val="left" w:pos="851"/>
          <w:tab w:val="left" w:pos="1418"/>
        </w:tabs>
        <w:spacing w:after="0"/>
        <w:rPr>
          <w:rFonts w:cs="Arial"/>
          <w:highlight w:val="yellow"/>
        </w:rPr>
      </w:pPr>
    </w:p>
    <w:tbl>
      <w:tblPr>
        <w:tblW w:w="8885" w:type="dxa"/>
        <w:tblLook w:val="04A0"/>
      </w:tblPr>
      <w:tblGrid>
        <w:gridCol w:w="750"/>
        <w:gridCol w:w="2051"/>
        <w:gridCol w:w="1337"/>
        <w:gridCol w:w="1096"/>
        <w:gridCol w:w="1217"/>
        <w:gridCol w:w="1217"/>
        <w:gridCol w:w="1217"/>
      </w:tblGrid>
      <w:tr w:rsidTr="00E2507D">
        <w:tblPrEx>
          <w:tblW w:w="8885" w:type="dxa"/>
          <w:tblLook w:val="04A0"/>
        </w:tblPrEx>
        <w:trPr>
          <w:trHeight w:val="619"/>
        </w:trPr>
        <w:tc>
          <w:tcPr>
            <w:tcW w:w="750" w:type="dxa"/>
            <w:tcBorders>
              <w:top w:val="single" w:sz="4" w:space="0" w:color="auto"/>
              <w:left w:val="single" w:sz="4" w:space="0" w:color="auto"/>
              <w:bottom w:val="nil"/>
              <w:right w:val="single" w:sz="4" w:space="0" w:color="auto"/>
            </w:tcBorders>
            <w:shd w:val="clear" w:color="000000" w:fill="D9D9D9"/>
            <w:vAlign w:val="center"/>
            <w:hideMark/>
          </w:tcPr>
          <w:p w:rsidR="00E2507D" w:rsidRPr="00FB578A" w:rsidP="00E2507D">
            <w:pPr>
              <w:spacing w:after="0"/>
              <w:jc w:val="center"/>
              <w:rPr>
                <w:rFonts w:eastAsia="Times New Roman" w:cs="Arial"/>
                <w:b/>
                <w:bCs/>
                <w:lang w:eastAsia="en-GB"/>
              </w:rPr>
            </w:pPr>
            <w:r w:rsidRPr="00FB578A">
              <w:rPr>
                <w:rFonts w:eastAsia="Times New Roman" w:cs="Arial"/>
                <w:b/>
                <w:bCs/>
                <w:lang w:eastAsia="en-GB"/>
              </w:rPr>
              <w:t>Ref</w:t>
            </w:r>
          </w:p>
        </w:tc>
        <w:tc>
          <w:tcPr>
            <w:tcW w:w="2051" w:type="dxa"/>
            <w:tcBorders>
              <w:top w:val="single" w:sz="4" w:space="0" w:color="auto"/>
              <w:left w:val="nil"/>
              <w:bottom w:val="nil"/>
              <w:right w:val="single" w:sz="4" w:space="0" w:color="auto"/>
            </w:tcBorders>
            <w:shd w:val="clear" w:color="000000" w:fill="D9D9D9"/>
            <w:vAlign w:val="center"/>
            <w:hideMark/>
          </w:tcPr>
          <w:p w:rsidR="00E2507D" w:rsidRPr="00FB578A" w:rsidP="00E2507D">
            <w:pPr>
              <w:spacing w:after="0"/>
              <w:jc w:val="center"/>
              <w:rPr>
                <w:rFonts w:eastAsia="Times New Roman" w:cs="Arial"/>
                <w:b/>
                <w:bCs/>
                <w:lang w:eastAsia="en-GB"/>
              </w:rPr>
            </w:pPr>
            <w:r w:rsidRPr="00FB578A">
              <w:rPr>
                <w:rFonts w:eastAsia="Times New Roman" w:cs="Arial"/>
                <w:b/>
                <w:bCs/>
                <w:lang w:eastAsia="en-GB"/>
              </w:rPr>
              <w:t>Head of Service</w:t>
            </w:r>
          </w:p>
        </w:tc>
        <w:tc>
          <w:tcPr>
            <w:tcW w:w="1337" w:type="dxa"/>
            <w:tcBorders>
              <w:top w:val="single" w:sz="4" w:space="0" w:color="auto"/>
              <w:left w:val="nil"/>
              <w:bottom w:val="nil"/>
              <w:right w:val="single" w:sz="4" w:space="0" w:color="auto"/>
            </w:tcBorders>
            <w:shd w:val="clear" w:color="000000" w:fill="D9D9D9"/>
            <w:vAlign w:val="center"/>
            <w:hideMark/>
          </w:tcPr>
          <w:p w:rsidR="00E2507D" w:rsidRPr="00FB578A" w:rsidP="00E2507D">
            <w:pPr>
              <w:spacing w:after="0"/>
              <w:jc w:val="center"/>
              <w:rPr>
                <w:rFonts w:eastAsia="Times New Roman" w:cs="Arial"/>
                <w:b/>
                <w:bCs/>
                <w:lang w:eastAsia="en-GB"/>
              </w:rPr>
            </w:pPr>
            <w:r w:rsidRPr="00FB578A">
              <w:rPr>
                <w:rFonts w:eastAsia="Times New Roman" w:cs="Arial"/>
                <w:b/>
                <w:bCs/>
                <w:lang w:eastAsia="en-GB"/>
              </w:rPr>
              <w:t>Approved Budget</w:t>
            </w:r>
          </w:p>
        </w:tc>
        <w:tc>
          <w:tcPr>
            <w:tcW w:w="1096" w:type="dxa"/>
            <w:tcBorders>
              <w:top w:val="single" w:sz="4" w:space="0" w:color="auto"/>
              <w:left w:val="nil"/>
              <w:bottom w:val="nil"/>
              <w:right w:val="single" w:sz="4" w:space="0" w:color="auto"/>
            </w:tcBorders>
            <w:shd w:val="clear" w:color="000000" w:fill="D9D9D9"/>
            <w:vAlign w:val="center"/>
            <w:hideMark/>
          </w:tcPr>
          <w:p w:rsidR="00E2507D" w:rsidRPr="00FB578A" w:rsidP="00E2507D">
            <w:pPr>
              <w:spacing w:after="0"/>
              <w:jc w:val="center"/>
              <w:rPr>
                <w:rFonts w:eastAsia="Times New Roman" w:cs="Arial"/>
                <w:b/>
                <w:bCs/>
                <w:lang w:eastAsia="en-GB"/>
              </w:rPr>
            </w:pPr>
            <w:r w:rsidRPr="00FB578A">
              <w:rPr>
                <w:rFonts w:eastAsia="Times New Roman" w:cs="Arial"/>
                <w:b/>
                <w:bCs/>
                <w:lang w:eastAsia="en-GB"/>
              </w:rPr>
              <w:t>Outturn</w:t>
            </w:r>
          </w:p>
        </w:tc>
        <w:tc>
          <w:tcPr>
            <w:tcW w:w="1217" w:type="dxa"/>
            <w:tcBorders>
              <w:top w:val="single" w:sz="4" w:space="0" w:color="auto"/>
              <w:left w:val="nil"/>
              <w:bottom w:val="nil"/>
              <w:right w:val="single" w:sz="4" w:space="0" w:color="auto"/>
            </w:tcBorders>
            <w:shd w:val="clear" w:color="000000" w:fill="D9D9D9"/>
            <w:vAlign w:val="center"/>
            <w:hideMark/>
          </w:tcPr>
          <w:p w:rsidR="00E2507D" w:rsidRPr="00FB578A" w:rsidP="00E2507D">
            <w:pPr>
              <w:spacing w:after="0"/>
              <w:jc w:val="center"/>
              <w:rPr>
                <w:rFonts w:eastAsia="Times New Roman" w:cs="Arial"/>
                <w:b/>
                <w:bCs/>
                <w:lang w:eastAsia="en-GB"/>
              </w:rPr>
            </w:pPr>
            <w:r w:rsidRPr="00FB578A">
              <w:rPr>
                <w:rFonts w:eastAsia="Times New Roman" w:cs="Arial"/>
                <w:b/>
                <w:bCs/>
                <w:lang w:eastAsia="en-GB"/>
              </w:rPr>
              <w:t>Outturn Variance</w:t>
            </w:r>
          </w:p>
        </w:tc>
        <w:tc>
          <w:tcPr>
            <w:tcW w:w="1217" w:type="dxa"/>
            <w:tcBorders>
              <w:top w:val="single" w:sz="4" w:space="0" w:color="auto"/>
              <w:left w:val="nil"/>
              <w:bottom w:val="nil"/>
              <w:right w:val="single" w:sz="4" w:space="0" w:color="auto"/>
            </w:tcBorders>
            <w:shd w:val="clear" w:color="000000" w:fill="D9D9D9"/>
            <w:vAlign w:val="center"/>
          </w:tcPr>
          <w:p w:rsidR="00E2507D" w:rsidRPr="00FB578A" w:rsidP="00E2507D">
            <w:pPr>
              <w:spacing w:after="0"/>
              <w:jc w:val="center"/>
              <w:rPr>
                <w:rFonts w:eastAsia="Times New Roman" w:cs="Arial"/>
                <w:b/>
                <w:bCs/>
                <w:lang w:eastAsia="en-GB"/>
              </w:rPr>
            </w:pPr>
            <w:r w:rsidRPr="00FB578A">
              <w:rPr>
                <w:rFonts w:eastAsia="Times New Roman" w:cs="Arial"/>
                <w:b/>
                <w:bCs/>
                <w:lang w:eastAsia="en-GB"/>
              </w:rPr>
              <w:t>Outturn Variance</w:t>
            </w:r>
          </w:p>
        </w:tc>
        <w:tc>
          <w:tcPr>
            <w:tcW w:w="1217" w:type="dxa"/>
            <w:tcBorders>
              <w:top w:val="single" w:sz="4" w:space="0" w:color="auto"/>
              <w:left w:val="single" w:sz="4" w:space="0" w:color="auto"/>
              <w:bottom w:val="nil"/>
              <w:right w:val="single" w:sz="4" w:space="0" w:color="auto"/>
            </w:tcBorders>
            <w:shd w:val="clear" w:color="000000" w:fill="D9D9D9"/>
            <w:vAlign w:val="center"/>
            <w:hideMark/>
          </w:tcPr>
          <w:p w:rsidR="00E2507D" w:rsidRPr="00FB578A" w:rsidP="00E2507D">
            <w:pPr>
              <w:spacing w:after="0"/>
              <w:jc w:val="center"/>
              <w:rPr>
                <w:rFonts w:eastAsia="Times New Roman" w:cs="Arial"/>
                <w:b/>
                <w:bCs/>
                <w:lang w:eastAsia="en-GB"/>
              </w:rPr>
            </w:pPr>
            <w:r w:rsidRPr="00FB578A">
              <w:rPr>
                <w:rFonts w:eastAsia="Times New Roman" w:cs="Arial"/>
                <w:b/>
                <w:bCs/>
                <w:lang w:eastAsia="en-GB"/>
              </w:rPr>
              <w:t>Quarter 3 Forecast Variance</w:t>
            </w:r>
          </w:p>
        </w:tc>
      </w:tr>
      <w:tr w:rsidTr="00E2507D">
        <w:tblPrEx>
          <w:tblW w:w="8885" w:type="dxa"/>
          <w:tblLook w:val="04A0"/>
        </w:tblPrEx>
        <w:trPr>
          <w:trHeight w:val="452"/>
        </w:trPr>
        <w:tc>
          <w:tcPr>
            <w:tcW w:w="750" w:type="dxa"/>
            <w:tcBorders>
              <w:top w:val="nil"/>
              <w:left w:val="single" w:sz="4" w:space="0" w:color="auto"/>
              <w:bottom w:val="single" w:sz="4" w:space="0" w:color="auto"/>
              <w:right w:val="single" w:sz="4" w:space="0" w:color="auto"/>
            </w:tcBorders>
            <w:shd w:val="clear" w:color="000000" w:fill="D9D9D9"/>
            <w:vAlign w:val="bottom"/>
            <w:hideMark/>
          </w:tcPr>
          <w:p w:rsidR="00E2507D" w:rsidRPr="00FB578A" w:rsidP="00E2507D">
            <w:pPr>
              <w:spacing w:after="0"/>
              <w:jc w:val="center"/>
              <w:rPr>
                <w:rFonts w:eastAsia="Times New Roman" w:cs="Arial"/>
                <w:b/>
                <w:bCs/>
                <w:lang w:eastAsia="en-GB"/>
              </w:rPr>
            </w:pPr>
            <w:r w:rsidRPr="00FB578A">
              <w:rPr>
                <w:rFonts w:eastAsia="Times New Roman" w:cs="Arial"/>
                <w:b/>
                <w:bCs/>
                <w:lang w:eastAsia="en-GB"/>
              </w:rPr>
              <w:t> </w:t>
            </w:r>
          </w:p>
        </w:tc>
        <w:tc>
          <w:tcPr>
            <w:tcW w:w="2051" w:type="dxa"/>
            <w:tcBorders>
              <w:top w:val="nil"/>
              <w:left w:val="nil"/>
              <w:bottom w:val="single" w:sz="4" w:space="0" w:color="auto"/>
              <w:right w:val="single" w:sz="4" w:space="0" w:color="auto"/>
            </w:tcBorders>
            <w:shd w:val="clear" w:color="000000" w:fill="D9D9D9"/>
            <w:vAlign w:val="bottom"/>
            <w:hideMark/>
          </w:tcPr>
          <w:p w:rsidR="00E2507D" w:rsidRPr="00FB578A" w:rsidP="00E2507D">
            <w:pPr>
              <w:spacing w:after="0"/>
              <w:jc w:val="center"/>
              <w:rPr>
                <w:rFonts w:eastAsia="Times New Roman" w:cs="Arial"/>
                <w:b/>
                <w:bCs/>
                <w:lang w:eastAsia="en-GB"/>
              </w:rPr>
            </w:pPr>
            <w:r w:rsidRPr="00FB578A">
              <w:rPr>
                <w:rFonts w:eastAsia="Times New Roman" w:cs="Arial"/>
                <w:b/>
                <w:bCs/>
                <w:lang w:eastAsia="en-GB"/>
              </w:rPr>
              <w:t> </w:t>
            </w:r>
          </w:p>
        </w:tc>
        <w:tc>
          <w:tcPr>
            <w:tcW w:w="1337" w:type="dxa"/>
            <w:tcBorders>
              <w:top w:val="nil"/>
              <w:left w:val="nil"/>
              <w:bottom w:val="single" w:sz="4" w:space="0" w:color="auto"/>
              <w:right w:val="single" w:sz="4" w:space="0" w:color="auto"/>
            </w:tcBorders>
            <w:shd w:val="clear" w:color="000000" w:fill="D9D9D9"/>
            <w:vAlign w:val="bottom"/>
            <w:hideMark/>
          </w:tcPr>
          <w:p w:rsidR="00E2507D" w:rsidRPr="00FB578A" w:rsidP="00E2507D">
            <w:pPr>
              <w:spacing w:after="0"/>
              <w:jc w:val="center"/>
              <w:rPr>
                <w:rFonts w:eastAsia="Times New Roman" w:cs="Arial"/>
                <w:b/>
                <w:bCs/>
                <w:lang w:eastAsia="en-GB"/>
              </w:rPr>
            </w:pPr>
            <w:r w:rsidRPr="00FB578A">
              <w:rPr>
                <w:rFonts w:eastAsia="Times New Roman" w:cs="Arial"/>
                <w:b/>
                <w:bCs/>
                <w:lang w:eastAsia="en-GB"/>
              </w:rPr>
              <w:t xml:space="preserve"> £m </w:t>
            </w:r>
          </w:p>
        </w:tc>
        <w:tc>
          <w:tcPr>
            <w:tcW w:w="1096" w:type="dxa"/>
            <w:tcBorders>
              <w:top w:val="nil"/>
              <w:left w:val="nil"/>
              <w:bottom w:val="single" w:sz="4" w:space="0" w:color="auto"/>
              <w:right w:val="single" w:sz="4" w:space="0" w:color="auto"/>
            </w:tcBorders>
            <w:shd w:val="clear" w:color="000000" w:fill="D9D9D9"/>
            <w:vAlign w:val="bottom"/>
            <w:hideMark/>
          </w:tcPr>
          <w:p w:rsidR="00E2507D" w:rsidRPr="00FB578A" w:rsidP="00E2507D">
            <w:pPr>
              <w:spacing w:after="0"/>
              <w:jc w:val="center"/>
              <w:rPr>
                <w:rFonts w:eastAsia="Times New Roman" w:cs="Arial"/>
                <w:b/>
                <w:bCs/>
                <w:lang w:eastAsia="en-GB"/>
              </w:rPr>
            </w:pPr>
            <w:r w:rsidRPr="00FB578A">
              <w:rPr>
                <w:rFonts w:eastAsia="Times New Roman" w:cs="Arial"/>
                <w:b/>
                <w:bCs/>
                <w:lang w:eastAsia="en-GB"/>
              </w:rPr>
              <w:t xml:space="preserve"> £m </w:t>
            </w:r>
          </w:p>
        </w:tc>
        <w:tc>
          <w:tcPr>
            <w:tcW w:w="1217" w:type="dxa"/>
            <w:tcBorders>
              <w:top w:val="nil"/>
              <w:left w:val="nil"/>
              <w:bottom w:val="single" w:sz="4" w:space="0" w:color="auto"/>
              <w:right w:val="single" w:sz="4" w:space="0" w:color="auto"/>
            </w:tcBorders>
            <w:shd w:val="clear" w:color="000000" w:fill="D9D9D9"/>
            <w:vAlign w:val="bottom"/>
            <w:hideMark/>
          </w:tcPr>
          <w:p w:rsidR="00E2507D" w:rsidRPr="00FB578A" w:rsidP="00E2507D">
            <w:pPr>
              <w:spacing w:after="0"/>
              <w:jc w:val="center"/>
              <w:rPr>
                <w:rFonts w:eastAsia="Times New Roman" w:cs="Arial"/>
                <w:b/>
                <w:bCs/>
                <w:lang w:eastAsia="en-GB"/>
              </w:rPr>
            </w:pPr>
            <w:r w:rsidRPr="00FB578A">
              <w:rPr>
                <w:rFonts w:eastAsia="Times New Roman" w:cs="Arial"/>
                <w:b/>
                <w:bCs/>
                <w:lang w:eastAsia="en-GB"/>
              </w:rPr>
              <w:t xml:space="preserve"> £m </w:t>
            </w:r>
          </w:p>
        </w:tc>
        <w:tc>
          <w:tcPr>
            <w:tcW w:w="1217" w:type="dxa"/>
            <w:tcBorders>
              <w:top w:val="nil"/>
              <w:left w:val="nil"/>
              <w:bottom w:val="single" w:sz="4" w:space="0" w:color="auto"/>
              <w:right w:val="single" w:sz="4" w:space="0" w:color="auto"/>
            </w:tcBorders>
            <w:shd w:val="clear" w:color="000000" w:fill="D9D9D9"/>
            <w:vAlign w:val="bottom"/>
          </w:tcPr>
          <w:p w:rsidR="00E2507D" w:rsidRPr="00FB578A" w:rsidP="00E2507D">
            <w:pPr>
              <w:spacing w:after="0"/>
              <w:jc w:val="center"/>
              <w:rPr>
                <w:rFonts w:eastAsia="Times New Roman" w:cs="Arial"/>
                <w:b/>
                <w:bCs/>
                <w:lang w:eastAsia="en-GB"/>
              </w:rPr>
            </w:pPr>
            <w:r w:rsidRPr="00FB578A">
              <w:rPr>
                <w:rFonts w:eastAsia="Times New Roman" w:cs="Arial"/>
                <w:b/>
                <w:bCs/>
                <w:lang w:eastAsia="en-GB"/>
              </w:rPr>
              <w:t>%</w:t>
            </w:r>
          </w:p>
        </w:tc>
        <w:tc>
          <w:tcPr>
            <w:tcW w:w="1217" w:type="dxa"/>
            <w:tcBorders>
              <w:top w:val="nil"/>
              <w:left w:val="single" w:sz="4" w:space="0" w:color="auto"/>
              <w:bottom w:val="single" w:sz="4" w:space="0" w:color="auto"/>
              <w:right w:val="single" w:sz="4" w:space="0" w:color="auto"/>
            </w:tcBorders>
            <w:shd w:val="clear" w:color="000000" w:fill="D9D9D9"/>
            <w:vAlign w:val="bottom"/>
            <w:hideMark/>
          </w:tcPr>
          <w:p w:rsidR="00E2507D" w:rsidRPr="00FB578A" w:rsidP="00E2507D">
            <w:pPr>
              <w:spacing w:after="0"/>
              <w:jc w:val="center"/>
              <w:rPr>
                <w:rFonts w:eastAsia="Times New Roman" w:cs="Arial"/>
                <w:b/>
                <w:bCs/>
                <w:lang w:eastAsia="en-GB"/>
              </w:rPr>
            </w:pPr>
            <w:r w:rsidRPr="00FB578A">
              <w:rPr>
                <w:rFonts w:eastAsia="Times New Roman" w:cs="Arial"/>
                <w:b/>
                <w:bCs/>
                <w:lang w:eastAsia="en-GB"/>
              </w:rPr>
              <w:t xml:space="preserve"> £m </w:t>
            </w:r>
          </w:p>
        </w:tc>
      </w:tr>
      <w:tr w:rsidTr="00E2507D">
        <w:tblPrEx>
          <w:tblW w:w="8885" w:type="dxa"/>
          <w:tblLook w:val="04A0"/>
        </w:tblPrEx>
        <w:trPr>
          <w:trHeight w:val="705"/>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E2507D" w:rsidRPr="00FB578A" w:rsidP="00E2507D">
            <w:pPr>
              <w:spacing w:after="0"/>
              <w:jc w:val="center"/>
              <w:rPr>
                <w:rFonts w:eastAsia="Times New Roman" w:cs="Arial"/>
                <w:b/>
                <w:bCs/>
                <w:lang w:eastAsia="en-GB"/>
              </w:rPr>
            </w:pPr>
            <w:r w:rsidRPr="00FB578A">
              <w:rPr>
                <w:rFonts w:eastAsia="Times New Roman" w:cs="Arial"/>
                <w:b/>
                <w:bCs/>
                <w:lang w:eastAsia="en-GB"/>
              </w:rPr>
              <w:t>3.1.1</w:t>
            </w:r>
          </w:p>
        </w:tc>
        <w:tc>
          <w:tcPr>
            <w:tcW w:w="2051" w:type="dxa"/>
            <w:tcBorders>
              <w:top w:val="nil"/>
              <w:left w:val="nil"/>
              <w:bottom w:val="single" w:sz="4" w:space="0" w:color="auto"/>
              <w:right w:val="single" w:sz="4" w:space="0" w:color="auto"/>
            </w:tcBorders>
            <w:shd w:val="clear" w:color="000000" w:fill="FFFFFF"/>
            <w:vAlign w:val="center"/>
            <w:hideMark/>
          </w:tcPr>
          <w:p w:rsidR="00E2507D" w:rsidRPr="00FB578A" w:rsidP="00E2507D">
            <w:pPr>
              <w:spacing w:after="0"/>
              <w:rPr>
                <w:rFonts w:eastAsia="Times New Roman" w:cs="Arial"/>
                <w:lang w:eastAsia="en-GB"/>
              </w:rPr>
            </w:pPr>
            <w:r w:rsidRPr="00FB578A">
              <w:rPr>
                <w:rFonts w:eastAsia="Times New Roman" w:cs="Arial"/>
                <w:lang w:eastAsia="en-GB"/>
              </w:rPr>
              <w:t>Disability (Adults)</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2507D" w:rsidRPr="00FB578A" w:rsidP="00E2507D">
            <w:pPr>
              <w:spacing w:after="0"/>
              <w:jc w:val="right"/>
              <w:rPr>
                <w:rFonts w:eastAsia="Times New Roman" w:cs="Arial"/>
                <w:highlight w:val="yellow"/>
                <w:lang w:eastAsia="en-GB"/>
              </w:rPr>
            </w:pPr>
            <w:r w:rsidRPr="00FB578A">
              <w:rPr>
                <w:rFonts w:eastAsia="Times New Roman" w:cs="Arial"/>
                <w:lang w:eastAsia="en-GB"/>
              </w:rPr>
              <w:t>-0.851</w:t>
            </w:r>
          </w:p>
        </w:tc>
        <w:tc>
          <w:tcPr>
            <w:tcW w:w="1096" w:type="dxa"/>
            <w:tcBorders>
              <w:top w:val="single" w:sz="4" w:space="0" w:color="auto"/>
              <w:left w:val="nil"/>
              <w:bottom w:val="single" w:sz="4" w:space="0" w:color="auto"/>
              <w:right w:val="single" w:sz="4" w:space="0" w:color="auto"/>
            </w:tcBorders>
            <w:shd w:val="clear" w:color="auto" w:fill="auto"/>
            <w:vAlign w:val="center"/>
          </w:tcPr>
          <w:p w:rsidR="00E2507D" w:rsidRPr="00FB578A" w:rsidP="00E2507D">
            <w:pPr>
              <w:spacing w:after="0"/>
              <w:jc w:val="right"/>
              <w:rPr>
                <w:rFonts w:cs="Arial"/>
              </w:rPr>
            </w:pPr>
            <w:r w:rsidRPr="00FB578A">
              <w:rPr>
                <w:rFonts w:cs="Arial"/>
              </w:rPr>
              <w:t>-1.383</w:t>
            </w:r>
          </w:p>
        </w:tc>
        <w:tc>
          <w:tcPr>
            <w:tcW w:w="1217" w:type="dxa"/>
            <w:tcBorders>
              <w:top w:val="single" w:sz="4" w:space="0" w:color="auto"/>
              <w:left w:val="nil"/>
              <w:bottom w:val="single" w:sz="4" w:space="0" w:color="auto"/>
              <w:right w:val="single" w:sz="4" w:space="0" w:color="auto"/>
            </w:tcBorders>
            <w:shd w:val="clear" w:color="000000" w:fill="D9D9D9"/>
            <w:vAlign w:val="center"/>
          </w:tcPr>
          <w:p w:rsidR="00E2507D" w:rsidRPr="00FB578A" w:rsidP="00E2507D">
            <w:pPr>
              <w:spacing w:after="0"/>
              <w:jc w:val="right"/>
              <w:rPr>
                <w:rFonts w:cs="Arial"/>
              </w:rPr>
            </w:pPr>
            <w:r w:rsidRPr="00FB578A">
              <w:rPr>
                <w:rFonts w:cs="Arial"/>
              </w:rPr>
              <w:t>-0.532</w:t>
            </w:r>
          </w:p>
        </w:tc>
        <w:tc>
          <w:tcPr>
            <w:tcW w:w="1217" w:type="dxa"/>
            <w:tcBorders>
              <w:top w:val="single" w:sz="4" w:space="0" w:color="auto"/>
              <w:left w:val="single" w:sz="4" w:space="0" w:color="auto"/>
              <w:bottom w:val="single" w:sz="4" w:space="0" w:color="auto"/>
              <w:right w:val="single" w:sz="4" w:space="0" w:color="auto"/>
            </w:tcBorders>
            <w:vAlign w:val="center"/>
          </w:tcPr>
          <w:p w:rsidR="00E2507D" w:rsidRPr="00FB578A" w:rsidP="00E2507D">
            <w:pPr>
              <w:spacing w:after="0"/>
              <w:ind w:right="-88"/>
              <w:jc w:val="right"/>
              <w:rPr>
                <w:rFonts w:cs="Arial"/>
              </w:rPr>
            </w:pPr>
            <w:r w:rsidRPr="00FB578A">
              <w:rPr>
                <w:rFonts w:cs="Arial"/>
              </w:rPr>
              <w:t>-62.51%</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E2507D" w:rsidRPr="00FB578A" w:rsidP="00E2507D">
            <w:pPr>
              <w:spacing w:after="0"/>
              <w:jc w:val="right"/>
              <w:rPr>
                <w:rFonts w:eastAsia="Times New Roman" w:cs="Arial"/>
                <w:lang w:eastAsia="en-GB"/>
              </w:rPr>
            </w:pPr>
            <w:r w:rsidRPr="00FB578A">
              <w:rPr>
                <w:rFonts w:cs="Arial"/>
              </w:rPr>
              <w:t>-0.440</w:t>
            </w:r>
          </w:p>
        </w:tc>
      </w:tr>
      <w:tr w:rsidTr="00E2507D">
        <w:tblPrEx>
          <w:tblW w:w="8885" w:type="dxa"/>
          <w:tblLook w:val="04A0"/>
        </w:tblPrEx>
        <w:trPr>
          <w:trHeight w:val="437"/>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E2507D" w:rsidRPr="00FB578A" w:rsidP="00E2507D">
            <w:pPr>
              <w:spacing w:after="0"/>
              <w:jc w:val="center"/>
              <w:rPr>
                <w:rFonts w:eastAsia="Times New Roman" w:cs="Arial"/>
                <w:b/>
                <w:bCs/>
                <w:lang w:eastAsia="en-GB"/>
              </w:rPr>
            </w:pPr>
            <w:r w:rsidRPr="00FB578A">
              <w:rPr>
                <w:rFonts w:eastAsia="Times New Roman" w:cs="Arial"/>
                <w:b/>
                <w:bCs/>
                <w:lang w:eastAsia="en-GB"/>
              </w:rPr>
              <w:t>3.1.2</w:t>
            </w:r>
          </w:p>
        </w:tc>
        <w:tc>
          <w:tcPr>
            <w:tcW w:w="2051" w:type="dxa"/>
            <w:tcBorders>
              <w:top w:val="nil"/>
              <w:left w:val="nil"/>
              <w:bottom w:val="single" w:sz="4" w:space="0" w:color="auto"/>
              <w:right w:val="single" w:sz="4" w:space="0" w:color="auto"/>
            </w:tcBorders>
            <w:shd w:val="clear" w:color="000000" w:fill="FFFFFF"/>
            <w:vAlign w:val="center"/>
            <w:hideMark/>
          </w:tcPr>
          <w:p w:rsidR="00E2507D" w:rsidRPr="00FB578A" w:rsidP="00E2507D">
            <w:pPr>
              <w:spacing w:after="0"/>
              <w:rPr>
                <w:rFonts w:eastAsia="Times New Roman" w:cs="Arial"/>
                <w:lang w:eastAsia="en-GB"/>
              </w:rPr>
            </w:pPr>
            <w:r w:rsidRPr="00FB578A">
              <w:rPr>
                <w:rFonts w:eastAsia="Times New Roman" w:cs="Arial"/>
                <w:lang w:eastAsia="en-GB"/>
              </w:rPr>
              <w:t>Learning Disabilities, Autism &amp; Mental Health</w:t>
            </w:r>
          </w:p>
        </w:tc>
        <w:tc>
          <w:tcPr>
            <w:tcW w:w="1337" w:type="dxa"/>
            <w:tcBorders>
              <w:top w:val="nil"/>
              <w:left w:val="single" w:sz="4" w:space="0" w:color="auto"/>
              <w:bottom w:val="single" w:sz="4" w:space="0" w:color="auto"/>
              <w:right w:val="single" w:sz="4" w:space="0" w:color="auto"/>
            </w:tcBorders>
            <w:shd w:val="clear" w:color="auto" w:fill="auto"/>
            <w:vAlign w:val="center"/>
          </w:tcPr>
          <w:p w:rsidR="00E2507D" w:rsidRPr="00FB578A" w:rsidP="00E2507D">
            <w:pPr>
              <w:spacing w:after="0"/>
              <w:jc w:val="right"/>
              <w:rPr>
                <w:rFonts w:cs="Arial"/>
                <w:highlight w:val="yellow"/>
              </w:rPr>
            </w:pPr>
            <w:r w:rsidRPr="00FB578A">
              <w:rPr>
                <w:rFonts w:eastAsia="Times New Roman" w:cs="Arial"/>
                <w:lang w:eastAsia="en-GB"/>
              </w:rPr>
              <w:t>172.856</w:t>
            </w:r>
          </w:p>
        </w:tc>
        <w:tc>
          <w:tcPr>
            <w:tcW w:w="1096" w:type="dxa"/>
            <w:tcBorders>
              <w:top w:val="nil"/>
              <w:left w:val="nil"/>
              <w:bottom w:val="single" w:sz="4" w:space="0" w:color="auto"/>
              <w:right w:val="single" w:sz="4" w:space="0" w:color="auto"/>
            </w:tcBorders>
            <w:shd w:val="clear" w:color="auto" w:fill="auto"/>
            <w:vAlign w:val="center"/>
          </w:tcPr>
          <w:p w:rsidR="00E2507D" w:rsidRPr="00FB578A" w:rsidP="00E2507D">
            <w:pPr>
              <w:spacing w:after="0"/>
              <w:jc w:val="right"/>
              <w:rPr>
                <w:rFonts w:cs="Arial"/>
              </w:rPr>
            </w:pPr>
            <w:r w:rsidRPr="00FB578A">
              <w:rPr>
                <w:rFonts w:cs="Arial"/>
              </w:rPr>
              <w:t>173.809</w:t>
            </w:r>
          </w:p>
        </w:tc>
        <w:tc>
          <w:tcPr>
            <w:tcW w:w="1217" w:type="dxa"/>
            <w:tcBorders>
              <w:top w:val="nil"/>
              <w:left w:val="nil"/>
              <w:bottom w:val="single" w:sz="4" w:space="0" w:color="auto"/>
              <w:right w:val="single" w:sz="4" w:space="0" w:color="auto"/>
            </w:tcBorders>
            <w:shd w:val="clear" w:color="000000" w:fill="D9D9D9"/>
            <w:vAlign w:val="center"/>
          </w:tcPr>
          <w:p w:rsidR="00E2507D" w:rsidRPr="00FB578A" w:rsidP="00E2507D">
            <w:pPr>
              <w:spacing w:after="0"/>
              <w:jc w:val="right"/>
              <w:rPr>
                <w:rFonts w:cs="Arial"/>
              </w:rPr>
            </w:pPr>
            <w:r w:rsidRPr="00FB578A">
              <w:rPr>
                <w:rFonts w:cs="Arial"/>
              </w:rPr>
              <w:t>0.954</w:t>
            </w:r>
          </w:p>
        </w:tc>
        <w:tc>
          <w:tcPr>
            <w:tcW w:w="1217" w:type="dxa"/>
            <w:tcBorders>
              <w:top w:val="nil"/>
              <w:left w:val="single" w:sz="4" w:space="0" w:color="auto"/>
              <w:bottom w:val="single" w:sz="4" w:space="0" w:color="auto"/>
              <w:right w:val="single" w:sz="4" w:space="0" w:color="auto"/>
            </w:tcBorders>
            <w:vAlign w:val="center"/>
          </w:tcPr>
          <w:p w:rsidR="00E2507D" w:rsidRPr="00FB578A" w:rsidP="00E2507D">
            <w:pPr>
              <w:spacing w:after="0"/>
              <w:ind w:right="-88"/>
              <w:jc w:val="right"/>
              <w:rPr>
                <w:rFonts w:cs="Arial"/>
              </w:rPr>
            </w:pPr>
            <w:r w:rsidRPr="00FB578A">
              <w:rPr>
                <w:rFonts w:cs="Arial"/>
              </w:rPr>
              <w:t>0.55%</w:t>
            </w:r>
          </w:p>
        </w:tc>
        <w:tc>
          <w:tcPr>
            <w:tcW w:w="1217" w:type="dxa"/>
            <w:tcBorders>
              <w:top w:val="nil"/>
              <w:left w:val="single" w:sz="4" w:space="0" w:color="auto"/>
              <w:bottom w:val="single" w:sz="4" w:space="0" w:color="auto"/>
              <w:right w:val="single" w:sz="4" w:space="0" w:color="auto"/>
            </w:tcBorders>
            <w:shd w:val="clear" w:color="auto" w:fill="auto"/>
            <w:vAlign w:val="center"/>
          </w:tcPr>
          <w:p w:rsidR="00E2507D" w:rsidRPr="00FB578A" w:rsidP="00E2507D">
            <w:pPr>
              <w:spacing w:after="0"/>
              <w:jc w:val="right"/>
              <w:rPr>
                <w:rFonts w:cs="Arial"/>
              </w:rPr>
            </w:pPr>
            <w:r w:rsidRPr="00FB578A">
              <w:rPr>
                <w:rFonts w:cs="Arial"/>
              </w:rPr>
              <w:t>-1.180</w:t>
            </w:r>
          </w:p>
        </w:tc>
      </w:tr>
      <w:tr w:rsidTr="00E2507D">
        <w:tblPrEx>
          <w:tblW w:w="8885" w:type="dxa"/>
          <w:tblLook w:val="04A0"/>
        </w:tblPrEx>
        <w:trPr>
          <w:trHeight w:val="437"/>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E2507D" w:rsidRPr="00FB578A" w:rsidP="00E2507D">
            <w:pPr>
              <w:spacing w:after="0"/>
              <w:jc w:val="center"/>
              <w:rPr>
                <w:rFonts w:eastAsia="Times New Roman" w:cs="Arial"/>
                <w:b/>
                <w:bCs/>
                <w:lang w:eastAsia="en-GB"/>
              </w:rPr>
            </w:pPr>
            <w:r w:rsidRPr="00FB578A">
              <w:rPr>
                <w:rFonts w:eastAsia="Times New Roman" w:cs="Arial"/>
                <w:b/>
                <w:bCs/>
                <w:lang w:eastAsia="en-GB"/>
              </w:rPr>
              <w:t>3.1.3</w:t>
            </w:r>
          </w:p>
        </w:tc>
        <w:tc>
          <w:tcPr>
            <w:tcW w:w="2051" w:type="dxa"/>
            <w:tcBorders>
              <w:top w:val="nil"/>
              <w:left w:val="nil"/>
              <w:bottom w:val="single" w:sz="4" w:space="0" w:color="auto"/>
              <w:right w:val="single" w:sz="4" w:space="0" w:color="auto"/>
            </w:tcBorders>
            <w:shd w:val="clear" w:color="000000" w:fill="FFFFFF"/>
            <w:vAlign w:val="center"/>
            <w:hideMark/>
          </w:tcPr>
          <w:p w:rsidR="00E2507D" w:rsidRPr="00FB578A" w:rsidP="00E2507D">
            <w:pPr>
              <w:spacing w:after="0"/>
              <w:rPr>
                <w:rFonts w:eastAsia="Times New Roman" w:cs="Arial"/>
                <w:lang w:eastAsia="en-GB"/>
              </w:rPr>
            </w:pPr>
            <w:r w:rsidRPr="00FB578A">
              <w:rPr>
                <w:rFonts w:eastAsia="Times New Roman" w:cs="Arial"/>
                <w:lang w:eastAsia="en-GB"/>
              </w:rPr>
              <w:t>Older People</w:t>
            </w:r>
          </w:p>
        </w:tc>
        <w:tc>
          <w:tcPr>
            <w:tcW w:w="1337" w:type="dxa"/>
            <w:tcBorders>
              <w:top w:val="nil"/>
              <w:left w:val="single" w:sz="4" w:space="0" w:color="auto"/>
              <w:bottom w:val="single" w:sz="4" w:space="0" w:color="auto"/>
              <w:right w:val="single" w:sz="4" w:space="0" w:color="auto"/>
            </w:tcBorders>
            <w:shd w:val="clear" w:color="auto" w:fill="auto"/>
            <w:vAlign w:val="center"/>
          </w:tcPr>
          <w:p w:rsidR="00E2507D" w:rsidRPr="00FB578A" w:rsidP="00E2507D">
            <w:pPr>
              <w:spacing w:after="0"/>
              <w:jc w:val="right"/>
              <w:rPr>
                <w:rFonts w:cs="Arial"/>
                <w:highlight w:val="yellow"/>
              </w:rPr>
            </w:pPr>
            <w:r w:rsidRPr="00FB578A">
              <w:rPr>
                <w:rFonts w:eastAsia="Times New Roman" w:cs="Arial"/>
                <w:lang w:eastAsia="en-GB"/>
              </w:rPr>
              <w:t>-0.387</w:t>
            </w:r>
          </w:p>
        </w:tc>
        <w:tc>
          <w:tcPr>
            <w:tcW w:w="1096" w:type="dxa"/>
            <w:tcBorders>
              <w:top w:val="nil"/>
              <w:left w:val="nil"/>
              <w:bottom w:val="single" w:sz="4" w:space="0" w:color="auto"/>
              <w:right w:val="single" w:sz="4" w:space="0" w:color="auto"/>
            </w:tcBorders>
            <w:shd w:val="clear" w:color="auto" w:fill="auto"/>
            <w:vAlign w:val="center"/>
          </w:tcPr>
          <w:p w:rsidR="00E2507D" w:rsidRPr="00FB578A" w:rsidP="00E2507D">
            <w:pPr>
              <w:spacing w:after="0"/>
              <w:jc w:val="right"/>
              <w:rPr>
                <w:rFonts w:cs="Arial"/>
              </w:rPr>
            </w:pPr>
            <w:r w:rsidRPr="00FB578A">
              <w:rPr>
                <w:rFonts w:cs="Arial"/>
              </w:rPr>
              <w:t>0.896</w:t>
            </w:r>
          </w:p>
        </w:tc>
        <w:tc>
          <w:tcPr>
            <w:tcW w:w="1217" w:type="dxa"/>
            <w:tcBorders>
              <w:top w:val="nil"/>
              <w:left w:val="nil"/>
              <w:bottom w:val="single" w:sz="4" w:space="0" w:color="auto"/>
              <w:right w:val="single" w:sz="4" w:space="0" w:color="auto"/>
            </w:tcBorders>
            <w:shd w:val="clear" w:color="000000" w:fill="D9D9D9"/>
            <w:vAlign w:val="center"/>
          </w:tcPr>
          <w:p w:rsidR="00E2507D" w:rsidRPr="00FB578A" w:rsidP="00E2507D">
            <w:pPr>
              <w:spacing w:after="0"/>
              <w:jc w:val="right"/>
              <w:rPr>
                <w:rFonts w:cs="Arial"/>
              </w:rPr>
            </w:pPr>
            <w:r w:rsidRPr="00FB578A">
              <w:rPr>
                <w:rFonts w:cs="Arial"/>
              </w:rPr>
              <w:t>1.283</w:t>
            </w:r>
          </w:p>
        </w:tc>
        <w:tc>
          <w:tcPr>
            <w:tcW w:w="1217" w:type="dxa"/>
            <w:tcBorders>
              <w:top w:val="nil"/>
              <w:left w:val="single" w:sz="4" w:space="0" w:color="auto"/>
              <w:bottom w:val="single" w:sz="4" w:space="0" w:color="auto"/>
              <w:right w:val="single" w:sz="4" w:space="0" w:color="auto"/>
            </w:tcBorders>
            <w:vAlign w:val="center"/>
          </w:tcPr>
          <w:p w:rsidR="00E2507D" w:rsidRPr="00FB578A" w:rsidP="00E2507D">
            <w:pPr>
              <w:spacing w:after="0"/>
              <w:ind w:right="-88"/>
              <w:jc w:val="right"/>
              <w:rPr>
                <w:rFonts w:cs="Arial"/>
              </w:rPr>
            </w:pPr>
            <w:r w:rsidRPr="00FB578A">
              <w:rPr>
                <w:rFonts w:cs="Arial"/>
              </w:rPr>
              <w:t>-331.52%</w:t>
            </w:r>
          </w:p>
        </w:tc>
        <w:tc>
          <w:tcPr>
            <w:tcW w:w="1217" w:type="dxa"/>
            <w:tcBorders>
              <w:top w:val="nil"/>
              <w:left w:val="single" w:sz="4" w:space="0" w:color="auto"/>
              <w:bottom w:val="single" w:sz="4" w:space="0" w:color="auto"/>
              <w:right w:val="single" w:sz="4" w:space="0" w:color="auto"/>
            </w:tcBorders>
            <w:shd w:val="clear" w:color="auto" w:fill="auto"/>
            <w:vAlign w:val="center"/>
          </w:tcPr>
          <w:p w:rsidR="00E2507D" w:rsidRPr="00FB578A" w:rsidP="00E2507D">
            <w:pPr>
              <w:spacing w:after="0"/>
              <w:jc w:val="right"/>
              <w:rPr>
                <w:rFonts w:cs="Arial"/>
              </w:rPr>
            </w:pPr>
            <w:r w:rsidRPr="00FB578A">
              <w:rPr>
                <w:rFonts w:cs="Arial"/>
              </w:rPr>
              <w:t>0.686</w:t>
            </w:r>
          </w:p>
        </w:tc>
      </w:tr>
      <w:tr w:rsidTr="00E2507D">
        <w:tblPrEx>
          <w:tblW w:w="8885" w:type="dxa"/>
          <w:tblLook w:val="04A0"/>
        </w:tblPrEx>
        <w:trPr>
          <w:trHeight w:val="437"/>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E2507D" w:rsidRPr="00FB578A" w:rsidP="00E2507D">
            <w:pPr>
              <w:spacing w:after="0"/>
              <w:jc w:val="center"/>
              <w:rPr>
                <w:rFonts w:eastAsia="Times New Roman" w:cs="Arial"/>
                <w:b/>
                <w:bCs/>
                <w:lang w:eastAsia="en-GB"/>
              </w:rPr>
            </w:pPr>
            <w:r w:rsidRPr="00FB578A">
              <w:rPr>
                <w:rFonts w:eastAsia="Times New Roman" w:cs="Arial"/>
                <w:b/>
                <w:bCs/>
                <w:lang w:eastAsia="en-GB"/>
              </w:rPr>
              <w:t>3.1.4</w:t>
            </w:r>
          </w:p>
        </w:tc>
        <w:tc>
          <w:tcPr>
            <w:tcW w:w="2051" w:type="dxa"/>
            <w:tcBorders>
              <w:top w:val="nil"/>
              <w:left w:val="nil"/>
              <w:bottom w:val="single" w:sz="4" w:space="0" w:color="auto"/>
              <w:right w:val="single" w:sz="4" w:space="0" w:color="auto"/>
            </w:tcBorders>
            <w:shd w:val="clear" w:color="000000" w:fill="FFFFFF"/>
            <w:vAlign w:val="center"/>
            <w:hideMark/>
          </w:tcPr>
          <w:p w:rsidR="00E2507D" w:rsidRPr="00FB578A" w:rsidP="00E2507D">
            <w:pPr>
              <w:spacing w:after="0"/>
              <w:rPr>
                <w:rFonts w:eastAsia="Times New Roman" w:cs="Arial"/>
                <w:lang w:eastAsia="en-GB"/>
              </w:rPr>
            </w:pPr>
            <w:r w:rsidRPr="00FB578A">
              <w:rPr>
                <w:rFonts w:eastAsia="Times New Roman" w:cs="Arial"/>
                <w:lang w:eastAsia="en-GB"/>
              </w:rPr>
              <w:t>Social Care Services (Adults)</w:t>
            </w:r>
          </w:p>
        </w:tc>
        <w:tc>
          <w:tcPr>
            <w:tcW w:w="1337" w:type="dxa"/>
            <w:tcBorders>
              <w:top w:val="nil"/>
              <w:left w:val="single" w:sz="4" w:space="0" w:color="auto"/>
              <w:bottom w:val="single" w:sz="4" w:space="0" w:color="auto"/>
              <w:right w:val="single" w:sz="4" w:space="0" w:color="auto"/>
            </w:tcBorders>
            <w:shd w:val="clear" w:color="auto" w:fill="auto"/>
            <w:vAlign w:val="center"/>
          </w:tcPr>
          <w:p w:rsidR="00E2507D" w:rsidRPr="00FB578A" w:rsidP="00E2507D">
            <w:pPr>
              <w:spacing w:after="0"/>
              <w:jc w:val="right"/>
              <w:rPr>
                <w:rFonts w:cs="Arial"/>
                <w:highlight w:val="yellow"/>
              </w:rPr>
            </w:pPr>
            <w:r w:rsidRPr="00FB578A">
              <w:rPr>
                <w:rFonts w:eastAsia="Times New Roman" w:cs="Arial"/>
                <w:lang w:eastAsia="en-GB"/>
              </w:rPr>
              <w:t>169.088</w:t>
            </w:r>
          </w:p>
        </w:tc>
        <w:tc>
          <w:tcPr>
            <w:tcW w:w="1096" w:type="dxa"/>
            <w:tcBorders>
              <w:top w:val="nil"/>
              <w:left w:val="nil"/>
              <w:bottom w:val="single" w:sz="4" w:space="0" w:color="auto"/>
              <w:right w:val="single" w:sz="4" w:space="0" w:color="auto"/>
            </w:tcBorders>
            <w:shd w:val="clear" w:color="auto" w:fill="auto"/>
            <w:vAlign w:val="center"/>
          </w:tcPr>
          <w:p w:rsidR="00E2507D" w:rsidRPr="00FB578A" w:rsidP="00E2507D">
            <w:pPr>
              <w:spacing w:after="0"/>
              <w:jc w:val="right"/>
              <w:rPr>
                <w:rFonts w:cs="Arial"/>
              </w:rPr>
            </w:pPr>
            <w:r w:rsidRPr="00FB578A">
              <w:rPr>
                <w:rFonts w:cs="Arial"/>
              </w:rPr>
              <w:t>192.313</w:t>
            </w:r>
          </w:p>
        </w:tc>
        <w:tc>
          <w:tcPr>
            <w:tcW w:w="1217" w:type="dxa"/>
            <w:tcBorders>
              <w:top w:val="nil"/>
              <w:left w:val="nil"/>
              <w:bottom w:val="single" w:sz="4" w:space="0" w:color="auto"/>
              <w:right w:val="single" w:sz="4" w:space="0" w:color="auto"/>
            </w:tcBorders>
            <w:shd w:val="clear" w:color="000000" w:fill="D9D9D9"/>
            <w:vAlign w:val="center"/>
          </w:tcPr>
          <w:p w:rsidR="00E2507D" w:rsidRPr="00FB578A" w:rsidP="00E2507D">
            <w:pPr>
              <w:spacing w:after="0"/>
              <w:jc w:val="right"/>
              <w:rPr>
                <w:rFonts w:cs="Arial"/>
              </w:rPr>
            </w:pPr>
            <w:r w:rsidRPr="00FB578A">
              <w:rPr>
                <w:rFonts w:cs="Arial"/>
              </w:rPr>
              <w:t>23.225</w:t>
            </w:r>
          </w:p>
        </w:tc>
        <w:tc>
          <w:tcPr>
            <w:tcW w:w="1217" w:type="dxa"/>
            <w:tcBorders>
              <w:top w:val="nil"/>
              <w:left w:val="single" w:sz="4" w:space="0" w:color="auto"/>
              <w:bottom w:val="single" w:sz="4" w:space="0" w:color="auto"/>
              <w:right w:val="single" w:sz="4" w:space="0" w:color="auto"/>
            </w:tcBorders>
            <w:vAlign w:val="center"/>
          </w:tcPr>
          <w:p w:rsidR="00E2507D" w:rsidRPr="00FB578A" w:rsidP="00E2507D">
            <w:pPr>
              <w:spacing w:after="0"/>
              <w:ind w:right="-88"/>
              <w:jc w:val="right"/>
              <w:rPr>
                <w:rFonts w:cs="Arial"/>
              </w:rPr>
            </w:pPr>
            <w:r w:rsidRPr="00FB578A">
              <w:rPr>
                <w:rFonts w:cs="Arial"/>
              </w:rPr>
              <w:t>13.74%</w:t>
            </w:r>
          </w:p>
        </w:tc>
        <w:tc>
          <w:tcPr>
            <w:tcW w:w="1217" w:type="dxa"/>
            <w:tcBorders>
              <w:top w:val="nil"/>
              <w:left w:val="single" w:sz="4" w:space="0" w:color="auto"/>
              <w:bottom w:val="single" w:sz="4" w:space="0" w:color="auto"/>
              <w:right w:val="single" w:sz="4" w:space="0" w:color="auto"/>
            </w:tcBorders>
            <w:shd w:val="clear" w:color="auto" w:fill="auto"/>
            <w:vAlign w:val="center"/>
          </w:tcPr>
          <w:p w:rsidR="00E2507D" w:rsidRPr="00FB578A" w:rsidP="00E2507D">
            <w:pPr>
              <w:spacing w:after="0"/>
              <w:jc w:val="right"/>
              <w:rPr>
                <w:rFonts w:cs="Arial"/>
              </w:rPr>
            </w:pPr>
            <w:r w:rsidRPr="00FB578A">
              <w:rPr>
                <w:rFonts w:cs="Arial"/>
              </w:rPr>
              <w:t>11.290</w:t>
            </w:r>
          </w:p>
        </w:tc>
      </w:tr>
      <w:tr w:rsidTr="00E2507D">
        <w:tblPrEx>
          <w:tblW w:w="8885" w:type="dxa"/>
          <w:tblLook w:val="04A0"/>
        </w:tblPrEx>
        <w:trPr>
          <w:trHeight w:val="452"/>
        </w:trPr>
        <w:tc>
          <w:tcPr>
            <w:tcW w:w="750" w:type="dxa"/>
            <w:tcBorders>
              <w:top w:val="nil"/>
              <w:left w:val="single" w:sz="4" w:space="0" w:color="auto"/>
              <w:bottom w:val="single" w:sz="4" w:space="0" w:color="auto"/>
              <w:right w:val="single" w:sz="4" w:space="0" w:color="auto"/>
            </w:tcBorders>
            <w:shd w:val="clear" w:color="000000" w:fill="D9D9D9"/>
            <w:vAlign w:val="center"/>
            <w:hideMark/>
          </w:tcPr>
          <w:p w:rsidR="00E2507D" w:rsidRPr="00FB578A" w:rsidP="00E2507D">
            <w:pPr>
              <w:spacing w:after="0"/>
              <w:jc w:val="center"/>
              <w:rPr>
                <w:rFonts w:eastAsia="Times New Roman" w:cs="Arial"/>
                <w:b/>
                <w:bCs/>
                <w:lang w:eastAsia="en-GB"/>
              </w:rPr>
            </w:pPr>
            <w:r w:rsidRPr="00FB578A">
              <w:rPr>
                <w:rFonts w:eastAsia="Times New Roman" w:cs="Arial"/>
                <w:b/>
                <w:bCs/>
                <w:lang w:eastAsia="en-GB"/>
              </w:rPr>
              <w:t> </w:t>
            </w:r>
          </w:p>
        </w:tc>
        <w:tc>
          <w:tcPr>
            <w:tcW w:w="2051" w:type="dxa"/>
            <w:tcBorders>
              <w:top w:val="nil"/>
              <w:left w:val="nil"/>
              <w:bottom w:val="single" w:sz="4" w:space="0" w:color="auto"/>
              <w:right w:val="single" w:sz="4" w:space="0" w:color="auto"/>
            </w:tcBorders>
            <w:shd w:val="clear" w:color="000000" w:fill="D9D9D9"/>
            <w:vAlign w:val="center"/>
            <w:hideMark/>
          </w:tcPr>
          <w:p w:rsidR="00E2507D" w:rsidRPr="00FB578A" w:rsidP="00E2507D">
            <w:pPr>
              <w:spacing w:after="0"/>
              <w:rPr>
                <w:rFonts w:eastAsia="Times New Roman" w:cs="Arial"/>
                <w:b/>
                <w:bCs/>
                <w:lang w:eastAsia="en-GB"/>
              </w:rPr>
            </w:pPr>
            <w:r w:rsidRPr="00FB578A">
              <w:rPr>
                <w:rFonts w:eastAsia="Times New Roman" w:cs="Arial"/>
                <w:b/>
                <w:bCs/>
                <w:lang w:eastAsia="en-GB"/>
              </w:rPr>
              <w:t>Total - Adult Services</w:t>
            </w:r>
          </w:p>
        </w:tc>
        <w:tc>
          <w:tcPr>
            <w:tcW w:w="1337" w:type="dxa"/>
            <w:tcBorders>
              <w:top w:val="nil"/>
              <w:left w:val="single" w:sz="4" w:space="0" w:color="auto"/>
              <w:bottom w:val="single" w:sz="4" w:space="0" w:color="auto"/>
              <w:right w:val="single" w:sz="4" w:space="0" w:color="auto"/>
            </w:tcBorders>
            <w:shd w:val="clear" w:color="000000" w:fill="D9D9D9"/>
            <w:vAlign w:val="center"/>
          </w:tcPr>
          <w:p w:rsidR="00E2507D" w:rsidRPr="00FB578A" w:rsidP="00E2507D">
            <w:pPr>
              <w:spacing w:after="0"/>
              <w:jc w:val="right"/>
              <w:rPr>
                <w:rFonts w:cs="Arial"/>
                <w:b/>
                <w:bCs/>
                <w:highlight w:val="yellow"/>
              </w:rPr>
            </w:pPr>
            <w:r w:rsidRPr="00FB578A">
              <w:rPr>
                <w:rFonts w:eastAsia="Times New Roman" w:cs="Arial"/>
                <w:b/>
                <w:bCs/>
                <w:lang w:eastAsia="en-GB"/>
              </w:rPr>
              <w:t>340.705</w:t>
            </w:r>
          </w:p>
        </w:tc>
        <w:tc>
          <w:tcPr>
            <w:tcW w:w="1096" w:type="dxa"/>
            <w:tcBorders>
              <w:top w:val="nil"/>
              <w:left w:val="nil"/>
              <w:bottom w:val="single" w:sz="4" w:space="0" w:color="auto"/>
              <w:right w:val="single" w:sz="4" w:space="0" w:color="auto"/>
            </w:tcBorders>
            <w:shd w:val="clear" w:color="000000" w:fill="D9D9D9"/>
            <w:vAlign w:val="center"/>
          </w:tcPr>
          <w:p w:rsidR="00E2507D" w:rsidRPr="00FB578A" w:rsidP="00E2507D">
            <w:pPr>
              <w:spacing w:after="0"/>
              <w:jc w:val="right"/>
              <w:rPr>
                <w:rFonts w:cs="Arial"/>
                <w:b/>
                <w:bCs/>
              </w:rPr>
            </w:pPr>
            <w:r w:rsidRPr="00FB578A">
              <w:rPr>
                <w:rFonts w:cs="Arial"/>
                <w:b/>
                <w:bCs/>
              </w:rPr>
              <w:t>365.635</w:t>
            </w:r>
          </w:p>
        </w:tc>
        <w:tc>
          <w:tcPr>
            <w:tcW w:w="1217" w:type="dxa"/>
            <w:tcBorders>
              <w:top w:val="nil"/>
              <w:left w:val="nil"/>
              <w:bottom w:val="single" w:sz="4" w:space="0" w:color="auto"/>
              <w:right w:val="single" w:sz="4" w:space="0" w:color="auto"/>
            </w:tcBorders>
            <w:shd w:val="clear" w:color="000000" w:fill="D9D9D9"/>
            <w:vAlign w:val="center"/>
          </w:tcPr>
          <w:p w:rsidR="00E2507D" w:rsidRPr="00FB578A" w:rsidP="00E2507D">
            <w:pPr>
              <w:spacing w:after="0"/>
              <w:jc w:val="right"/>
              <w:rPr>
                <w:rFonts w:cs="Arial"/>
                <w:b/>
                <w:bCs/>
              </w:rPr>
            </w:pPr>
            <w:r w:rsidRPr="00FB578A">
              <w:rPr>
                <w:rFonts w:cs="Arial"/>
                <w:b/>
                <w:bCs/>
              </w:rPr>
              <w:t>24.930</w:t>
            </w:r>
          </w:p>
        </w:tc>
        <w:tc>
          <w:tcPr>
            <w:tcW w:w="1217" w:type="dxa"/>
            <w:tcBorders>
              <w:top w:val="nil"/>
              <w:left w:val="single" w:sz="4" w:space="0" w:color="auto"/>
              <w:bottom w:val="single" w:sz="4" w:space="0" w:color="auto"/>
              <w:right w:val="single" w:sz="4" w:space="0" w:color="auto"/>
            </w:tcBorders>
            <w:shd w:val="clear" w:color="000000" w:fill="D9D9D9"/>
            <w:vAlign w:val="center"/>
          </w:tcPr>
          <w:p w:rsidR="00E2507D" w:rsidRPr="00FB578A" w:rsidP="00E2507D">
            <w:pPr>
              <w:spacing w:after="0"/>
              <w:ind w:right="-88"/>
              <w:jc w:val="right"/>
              <w:rPr>
                <w:rFonts w:cs="Arial"/>
                <w:b/>
                <w:bCs/>
              </w:rPr>
            </w:pPr>
            <w:r w:rsidRPr="00FB578A">
              <w:rPr>
                <w:rFonts w:cs="Arial"/>
                <w:b/>
                <w:bCs/>
              </w:rPr>
              <w:t>7.32%</w:t>
            </w:r>
          </w:p>
        </w:tc>
        <w:tc>
          <w:tcPr>
            <w:tcW w:w="1217" w:type="dxa"/>
            <w:tcBorders>
              <w:top w:val="nil"/>
              <w:left w:val="single" w:sz="4" w:space="0" w:color="auto"/>
              <w:bottom w:val="single" w:sz="4" w:space="0" w:color="auto"/>
              <w:right w:val="single" w:sz="4" w:space="0" w:color="auto"/>
            </w:tcBorders>
            <w:shd w:val="clear" w:color="000000" w:fill="D9D9D9"/>
            <w:vAlign w:val="center"/>
          </w:tcPr>
          <w:p w:rsidR="00E2507D" w:rsidRPr="00FB578A" w:rsidP="00E2507D">
            <w:pPr>
              <w:spacing w:after="0"/>
              <w:jc w:val="right"/>
              <w:rPr>
                <w:rFonts w:cs="Arial"/>
                <w:b/>
                <w:bCs/>
              </w:rPr>
            </w:pPr>
            <w:r w:rsidRPr="00FB578A">
              <w:rPr>
                <w:rFonts w:cs="Arial"/>
                <w:b/>
                <w:bCs/>
              </w:rPr>
              <w:t>10.356</w:t>
            </w:r>
          </w:p>
        </w:tc>
      </w:tr>
    </w:tbl>
    <w:p w:rsidR="00E2507D" w:rsidRPr="00FB578A" w:rsidP="00E2507D">
      <w:pPr>
        <w:tabs>
          <w:tab w:val="left" w:pos="851"/>
          <w:tab w:val="left" w:pos="1418"/>
        </w:tabs>
        <w:spacing w:after="0"/>
        <w:rPr>
          <w:rFonts w:cs="Arial"/>
          <w:highlight w:val="yellow"/>
        </w:rPr>
      </w:pPr>
    </w:p>
    <w:p w:rsidR="00E2507D" w:rsidRPr="00585BEE" w:rsidP="00E2507D">
      <w:pPr>
        <w:tabs>
          <w:tab w:val="left" w:pos="851"/>
          <w:tab w:val="left" w:pos="1418"/>
        </w:tabs>
        <w:spacing w:after="0"/>
        <w:rPr>
          <w:rFonts w:cs="Arial"/>
        </w:rPr>
      </w:pPr>
      <w:r w:rsidRPr="00FB578A">
        <w:rPr>
          <w:rFonts w:cs="Arial"/>
        </w:rPr>
        <w:t>The total net approved budget for Adult Services in 2019/20 is £340.705m with the service overspending by £24.930m in this financial year. It must however be no</w:t>
      </w:r>
      <w:r>
        <w:rPr>
          <w:rFonts w:cs="Arial"/>
        </w:rPr>
        <w:t>ted, that this position includes t</w:t>
      </w:r>
      <w:r w:rsidRPr="00585BEE">
        <w:rPr>
          <w:rFonts w:cs="Arial"/>
        </w:rPr>
        <w:t>he application of an agreed risk sharing agreement covering significant budget pressures for some Clinical Commissioning Groups (CCG's) in areas which have significant overlaps with services within the scope of the pooled Better Care Fund / Improved Better Care Fund (BCF/iBCF) arrangements.  The risk share agreement arrangement was still being discussed at the time of the last Money Matters update to Cabinet on 6</w:t>
      </w:r>
      <w:r w:rsidRPr="00585BEE">
        <w:rPr>
          <w:rFonts w:cs="Arial"/>
          <w:vertAlign w:val="superscript"/>
        </w:rPr>
        <w:t>th</w:t>
      </w:r>
      <w:r w:rsidRPr="00585BEE">
        <w:rPr>
          <w:rFonts w:cs="Arial"/>
        </w:rPr>
        <w:t xml:space="preserve"> February 2020.  It was noted in that report that the forecast outturn position could change by up to £16m if the risk share agreement was agreed and applied in 2019/20</w:t>
      </w:r>
    </w:p>
    <w:p w:rsidR="00E2507D" w:rsidRPr="00585BEE" w:rsidP="00E2507D">
      <w:pPr>
        <w:tabs>
          <w:tab w:val="left" w:pos="851"/>
          <w:tab w:val="left" w:pos="1418"/>
        </w:tabs>
        <w:spacing w:after="0"/>
        <w:rPr>
          <w:rFonts w:cs="Arial"/>
        </w:rPr>
      </w:pPr>
    </w:p>
    <w:p w:rsidR="00E2507D" w:rsidRPr="00585BEE" w:rsidP="00E2507D">
      <w:pPr>
        <w:tabs>
          <w:tab w:val="left" w:pos="851"/>
          <w:tab w:val="left" w:pos="1418"/>
        </w:tabs>
        <w:spacing w:after="0"/>
        <w:rPr>
          <w:rFonts w:cs="Arial"/>
        </w:rPr>
      </w:pPr>
      <w:r w:rsidRPr="00585BEE">
        <w:rPr>
          <w:rFonts w:cs="Arial"/>
        </w:rPr>
        <w:t>An additional one-off contribution of £12.493m was subsequently agreed and made in 2019/20 to support the Central and East CCGs.  The additional contribution was to mitigate pressures across the health and social care system in 2019/20 and whilst there is no obligation for this to be repaid by the CCG's in 2020/21, the risk share agreement will remain in place during 2020/21 with any future application being subject to discussion during the year regarding the relative financial challenges for each of the organisations and the health and social care system as a whole.</w:t>
      </w:r>
    </w:p>
    <w:p w:rsidR="00E2507D" w:rsidRPr="00FB578A" w:rsidP="00E2507D">
      <w:pPr>
        <w:tabs>
          <w:tab w:val="left" w:pos="851"/>
          <w:tab w:val="left" w:pos="1418"/>
        </w:tabs>
        <w:spacing w:after="0"/>
        <w:rPr>
          <w:rFonts w:cs="Arial"/>
        </w:rPr>
      </w:pPr>
    </w:p>
    <w:p w:rsidR="00E2507D" w:rsidRPr="00FB578A" w:rsidP="00E2507D">
      <w:pPr>
        <w:tabs>
          <w:tab w:val="left" w:pos="851"/>
          <w:tab w:val="left" w:pos="1418"/>
        </w:tabs>
        <w:spacing w:after="0"/>
        <w:rPr>
          <w:rFonts w:cs="Arial"/>
        </w:rPr>
      </w:pPr>
      <w:r w:rsidRPr="00FB578A">
        <w:rPr>
          <w:rFonts w:cs="Arial"/>
        </w:rPr>
        <w:t>Excluding the impact of the risk share agreement the overspend for 2019/20 was £12.437m and increased overspend of £2.081m compared with Quarter 3.The change is due to a number of different variances across this wide ranging budget, but is mainly as a result of increased expenditure on domiciliary and residential care as a result of backdated packages of care and an unforecast increase in catering and cleaning services provided by LCC in house services.</w:t>
      </w:r>
    </w:p>
    <w:p w:rsidR="00E2507D" w:rsidRPr="00FB578A" w:rsidP="00E2507D">
      <w:pPr>
        <w:spacing w:after="0"/>
        <w:rPr>
          <w:rFonts w:cs="Arial"/>
          <w:highlight w:val="yellow"/>
        </w:rPr>
      </w:pPr>
    </w:p>
    <w:p w:rsidR="00E2507D" w:rsidRPr="00FB578A" w:rsidP="00E2507D">
      <w:pPr>
        <w:spacing w:after="0"/>
        <w:rPr>
          <w:rFonts w:eastAsia="Times New Roman" w:cs="Arial"/>
          <w:lang w:eastAsia="en-GB"/>
        </w:rPr>
      </w:pPr>
      <w:r w:rsidRPr="00FB578A">
        <w:rPr>
          <w:rFonts w:cs="Arial"/>
          <w:b/>
        </w:rPr>
        <w:t xml:space="preserve">3.1.1 </w:t>
      </w:r>
      <w:r w:rsidRPr="00FB578A">
        <w:rPr>
          <w:rFonts w:eastAsia="Times New Roman" w:cs="Arial"/>
          <w:b/>
          <w:lang w:eastAsia="en-GB"/>
        </w:rPr>
        <w:t>Disability (Adults)</w:t>
      </w:r>
    </w:p>
    <w:p w:rsidR="00E2507D" w:rsidRPr="00FB578A" w:rsidP="00E2507D">
      <w:pPr>
        <w:spacing w:after="0"/>
        <w:rPr>
          <w:rFonts w:eastAsia="Times New Roman" w:cs="Arial"/>
          <w:lang w:eastAsia="en-GB"/>
        </w:rPr>
      </w:pPr>
      <w:r w:rsidRPr="00FB578A">
        <w:rPr>
          <w:rFonts w:eastAsia="Times New Roman" w:cs="Arial"/>
          <w:lang w:eastAsia="en-GB"/>
        </w:rPr>
        <w:t>Our in</w:t>
      </w:r>
      <w:r>
        <w:rPr>
          <w:rFonts w:eastAsia="Times New Roman" w:cs="Arial"/>
          <w:lang w:eastAsia="en-GB"/>
        </w:rPr>
        <w:t>-</w:t>
      </w:r>
      <w:r w:rsidRPr="00FB578A">
        <w:rPr>
          <w:rFonts w:eastAsia="Times New Roman" w:cs="Arial"/>
          <w:lang w:eastAsia="en-GB"/>
        </w:rPr>
        <w:t xml:space="preserve">house disability service </w:t>
      </w:r>
      <w:r>
        <w:rPr>
          <w:rFonts w:cs="Arial"/>
        </w:rPr>
        <w:t xml:space="preserve">has outturned with </w:t>
      </w:r>
      <w:r>
        <w:rPr>
          <w:rFonts w:cs="Arial"/>
        </w:rPr>
        <w:t xml:space="preserve">an </w:t>
      </w:r>
      <w:r w:rsidRPr="00FB578A">
        <w:rPr>
          <w:rFonts w:cs="Arial"/>
        </w:rPr>
        <w:t>underspend</w:t>
      </w:r>
      <w:r w:rsidRPr="00FB578A">
        <w:rPr>
          <w:rFonts w:cs="Arial"/>
        </w:rPr>
        <w:t xml:space="preserve"> of £532,000 predominantly due to staffing underspends. The overall cost of the Disability service for the year </w:t>
      </w:r>
      <w:r>
        <w:rPr>
          <w:rFonts w:cs="Arial"/>
        </w:rPr>
        <w:t>was £34.241m which was slightly underspent as noted above</w:t>
      </w:r>
      <w:r w:rsidRPr="00FB578A">
        <w:rPr>
          <w:rFonts w:cs="Arial"/>
        </w:rPr>
        <w:t>.</w:t>
      </w:r>
    </w:p>
    <w:p w:rsidR="00E2507D" w:rsidRPr="00FB578A" w:rsidP="00E2507D">
      <w:pPr>
        <w:spacing w:after="0"/>
        <w:rPr>
          <w:rFonts w:cs="Arial"/>
          <w:b/>
        </w:rPr>
      </w:pPr>
    </w:p>
    <w:p w:rsidR="00E2507D" w:rsidRPr="00FB578A" w:rsidP="00E2507D">
      <w:pPr>
        <w:spacing w:after="0"/>
        <w:rPr>
          <w:rFonts w:cs="Arial"/>
          <w:b/>
        </w:rPr>
      </w:pPr>
      <w:r w:rsidRPr="00FB578A">
        <w:rPr>
          <w:rFonts w:cs="Arial"/>
          <w:b/>
        </w:rPr>
        <w:t xml:space="preserve">3.1.2 </w:t>
      </w:r>
      <w:r w:rsidRPr="00FB578A">
        <w:rPr>
          <w:rFonts w:eastAsia="Times New Roman" w:cs="Arial"/>
          <w:b/>
          <w:lang w:eastAsia="en-GB"/>
        </w:rPr>
        <w:t>Learning Disabilities, Autism &amp; Mental Health</w:t>
      </w:r>
    </w:p>
    <w:p w:rsidR="00E2507D" w:rsidP="00E2507D">
      <w:pPr>
        <w:spacing w:after="0"/>
        <w:rPr>
          <w:rFonts w:cs="Arial"/>
        </w:rPr>
      </w:pPr>
      <w:r w:rsidRPr="00FB578A">
        <w:rPr>
          <w:rFonts w:cs="Arial"/>
        </w:rPr>
        <w:t>Although there is a small overspend</w:t>
      </w:r>
      <w:r>
        <w:rPr>
          <w:rFonts w:cs="Arial"/>
        </w:rPr>
        <w:t xml:space="preserve"> (£954,000) </w:t>
      </w:r>
      <w:r w:rsidRPr="00FB578A">
        <w:rPr>
          <w:rFonts w:cs="Arial"/>
        </w:rPr>
        <w:t>in the context of the ove</w:t>
      </w:r>
      <w:r>
        <w:rPr>
          <w:rFonts w:cs="Arial"/>
        </w:rPr>
        <w:t>rall budget of £172.856m</w:t>
      </w:r>
      <w:r w:rsidRPr="00FB578A">
        <w:rPr>
          <w:rFonts w:cs="Arial"/>
        </w:rPr>
        <w:t xml:space="preserve"> reported across our Learning Disability, Autism and Mental Health service, there are a number of variances within this position. The mental health service continue to experience staff turnover and delays in recruitment leading to an underspend of £1.172m with additional underspends in commissioning of £1.339m as a result of lower numbers of service user numbers and the saving liberated by the cessation of the Community Restart element of the LCFT block contract which ended on 31</w:t>
      </w:r>
      <w:r w:rsidRPr="00FB578A">
        <w:rPr>
          <w:rFonts w:cs="Arial"/>
          <w:vertAlign w:val="superscript"/>
        </w:rPr>
        <w:t>st</w:t>
      </w:r>
      <w:r w:rsidRPr="00FB578A">
        <w:rPr>
          <w:rFonts w:cs="Arial"/>
        </w:rPr>
        <w:t xml:space="preserve"> August 2019.</w:t>
      </w:r>
    </w:p>
    <w:p w:rsidR="00E2507D" w:rsidP="00E2507D">
      <w:pPr>
        <w:spacing w:after="0"/>
        <w:rPr>
          <w:rFonts w:cs="Arial"/>
        </w:rPr>
      </w:pPr>
      <w:r w:rsidRPr="00FB578A">
        <w:rPr>
          <w:rFonts w:cs="Arial"/>
        </w:rPr>
        <w:t xml:space="preserve"> </w:t>
      </w:r>
    </w:p>
    <w:p w:rsidR="00E2507D" w:rsidRPr="00FB578A" w:rsidP="00E2507D">
      <w:pPr>
        <w:spacing w:after="0"/>
        <w:rPr>
          <w:rFonts w:cs="Arial"/>
        </w:rPr>
      </w:pPr>
      <w:r w:rsidRPr="00FB578A">
        <w:rPr>
          <w:rFonts w:cs="Arial"/>
        </w:rPr>
        <w:t xml:space="preserve">Learning disability services have reported an outturn of £3.465m </w:t>
      </w:r>
      <w:r>
        <w:rPr>
          <w:rFonts w:cs="Arial"/>
        </w:rPr>
        <w:t xml:space="preserve">overspend </w:t>
      </w:r>
      <w:r w:rsidRPr="00FB578A">
        <w:rPr>
          <w:rFonts w:cs="Arial"/>
        </w:rPr>
        <w:t>as a result of additional price and demand</w:t>
      </w:r>
      <w:r>
        <w:rPr>
          <w:rFonts w:cs="Arial"/>
        </w:rPr>
        <w:t xml:space="preserve"> of</w:t>
      </w:r>
      <w:r w:rsidRPr="00FB578A">
        <w:rPr>
          <w:rFonts w:cs="Arial"/>
        </w:rPr>
        <w:t xml:space="preserve"> £4.003m, the delay to the sleep-ins saving </w:t>
      </w:r>
      <w:r>
        <w:rPr>
          <w:rFonts w:cs="Arial"/>
        </w:rPr>
        <w:t xml:space="preserve">of </w:t>
      </w:r>
      <w:r w:rsidRPr="00FB578A">
        <w:rPr>
          <w:rFonts w:cs="Arial"/>
        </w:rPr>
        <w:t>£4.903m with these pressures being somewhat mitigated by net additional income predominantly from jointly funded health claims of £4.667m</w:t>
      </w:r>
    </w:p>
    <w:p w:rsidR="00E2507D" w:rsidRPr="00FB578A" w:rsidP="00E2507D">
      <w:pPr>
        <w:spacing w:after="0"/>
        <w:rPr>
          <w:rFonts w:cs="Arial"/>
          <w:highlight w:val="yellow"/>
        </w:rPr>
      </w:pPr>
    </w:p>
    <w:p w:rsidR="00E2507D" w:rsidRPr="00FB578A" w:rsidP="00E2507D">
      <w:pPr>
        <w:spacing w:after="0"/>
        <w:rPr>
          <w:rFonts w:cs="Arial"/>
        </w:rPr>
      </w:pPr>
      <w:r w:rsidRPr="00FB578A">
        <w:rPr>
          <w:rFonts w:cs="Arial"/>
          <w:b/>
        </w:rPr>
        <w:t xml:space="preserve">3.1.3 </w:t>
      </w:r>
      <w:r w:rsidRPr="00FB578A">
        <w:rPr>
          <w:rFonts w:eastAsia="Times New Roman" w:cs="Arial"/>
          <w:b/>
          <w:lang w:eastAsia="en-GB"/>
        </w:rPr>
        <w:t>Older People</w:t>
      </w:r>
      <w:r w:rsidRPr="00FB578A">
        <w:rPr>
          <w:rFonts w:cs="Arial"/>
          <w:b/>
        </w:rPr>
        <w:t xml:space="preserve"> </w:t>
      </w:r>
    </w:p>
    <w:p w:rsidR="00E2507D" w:rsidRPr="00FB578A" w:rsidP="00E2507D">
      <w:pPr>
        <w:spacing w:after="0"/>
        <w:rPr>
          <w:rFonts w:cs="Arial"/>
        </w:rPr>
      </w:pPr>
      <w:r>
        <w:rPr>
          <w:rFonts w:cs="Arial"/>
        </w:rPr>
        <w:t>Our in-house r</w:t>
      </w:r>
      <w:r w:rsidRPr="00FB578A">
        <w:rPr>
          <w:rFonts w:cs="Arial"/>
        </w:rPr>
        <w:t xml:space="preserve">esidential and day care services for older people have continued to face staff pressures during the year which is the predominant reason for the reported overspend of £1.283m. The overall cost of the older peoples service for the year </w:t>
      </w:r>
      <w:r>
        <w:rPr>
          <w:rFonts w:cs="Arial"/>
        </w:rPr>
        <w:t xml:space="preserve">was </w:t>
      </w:r>
      <w:r w:rsidRPr="00FB578A">
        <w:rPr>
          <w:rFonts w:cs="Arial"/>
        </w:rPr>
        <w:t xml:space="preserve">£24.089m which was £2.057m overspent this was as a result of the staff pressure as mentioned </w:t>
      </w:r>
      <w:r>
        <w:rPr>
          <w:rFonts w:cs="Arial"/>
        </w:rPr>
        <w:t xml:space="preserve">which was </w:t>
      </w:r>
      <w:r w:rsidRPr="00FB578A">
        <w:rPr>
          <w:rFonts w:cs="Arial"/>
        </w:rPr>
        <w:t xml:space="preserve">somewhat mitigated by some additional income. </w:t>
      </w:r>
    </w:p>
    <w:p w:rsidR="00E2507D" w:rsidRPr="00FB578A" w:rsidP="00E2507D">
      <w:pPr>
        <w:spacing w:after="0"/>
        <w:rPr>
          <w:rFonts w:cs="Arial"/>
          <w:highlight w:val="yellow"/>
        </w:rPr>
      </w:pPr>
    </w:p>
    <w:p w:rsidR="00E2507D" w:rsidRPr="00FB578A" w:rsidP="00E2507D">
      <w:pPr>
        <w:spacing w:after="0"/>
        <w:rPr>
          <w:rFonts w:cs="Arial"/>
        </w:rPr>
      </w:pPr>
      <w:r w:rsidRPr="00FB578A">
        <w:rPr>
          <w:rFonts w:cs="Arial"/>
          <w:b/>
        </w:rPr>
        <w:t xml:space="preserve">3.1.4 </w:t>
      </w:r>
      <w:r w:rsidRPr="00FB578A">
        <w:rPr>
          <w:rFonts w:eastAsia="Times New Roman" w:cs="Arial"/>
          <w:b/>
          <w:lang w:eastAsia="en-GB"/>
        </w:rPr>
        <w:t>Social Care Services (Adults)</w:t>
      </w:r>
    </w:p>
    <w:p w:rsidR="00E2507D" w:rsidRPr="00FB578A" w:rsidP="00E2507D">
      <w:pPr>
        <w:spacing w:after="0"/>
        <w:rPr>
          <w:rFonts w:cs="Arial"/>
        </w:rPr>
      </w:pPr>
      <w:r w:rsidRPr="00FB578A">
        <w:rPr>
          <w:rFonts w:cs="Arial"/>
        </w:rPr>
        <w:t>The outturn position for social care services for adults has been somewhat skewed by the aforementioned support provided to the wider health and social care sector. The risk sharing agreement in relation to activity covered by the better care fund accounts for £12.493m of the outturn position of £23.225m overspent. The remaining overspend of £10.732m is predominantly as a result of some delayed or undeliverable savings. The savings all relate to different aspects of the passport to independence initiatives which continue to be delivered across adult social care. This programme of work was predicated on enabling people to maintain their independence for as long as possible and reduci</w:t>
      </w:r>
      <w:r>
        <w:rPr>
          <w:rFonts w:cs="Arial"/>
        </w:rPr>
        <w:t>ng the number of residential ad</w:t>
      </w:r>
      <w:r w:rsidRPr="00FB578A">
        <w:rPr>
          <w:rFonts w:cs="Arial"/>
        </w:rPr>
        <w:t>missions which are not necessarily a good outcome for individuals. It must be noted that residential and nursing placements are often more costly when compared to other care packages such as domiciliary care and in addition, alternative placements to residential care often provide better outcomes for the service user. The impacts of the delayed or undeliverable savings are as follows:</w:t>
      </w:r>
    </w:p>
    <w:p w:rsidR="00E2507D" w:rsidRPr="00FB578A" w:rsidP="00E2507D">
      <w:pPr>
        <w:spacing w:after="0"/>
        <w:rPr>
          <w:rFonts w:cs="Arial"/>
        </w:rPr>
      </w:pPr>
    </w:p>
    <w:p w:rsidR="00E2507D" w:rsidRPr="00FB578A" w:rsidP="00E2507D">
      <w:pPr>
        <w:numPr>
          <w:ilvl w:val="0"/>
          <w:numId w:val="40"/>
        </w:numPr>
        <w:spacing w:after="0"/>
        <w:contextualSpacing/>
        <w:rPr>
          <w:rFonts w:cs="Arial"/>
        </w:rPr>
      </w:pPr>
      <w:r w:rsidRPr="00FB578A">
        <w:rPr>
          <w:rFonts w:cs="Arial"/>
        </w:rPr>
        <w:t xml:space="preserve">A saving of £1.700m has been delayed until 2020/21 in relation to </w:t>
      </w:r>
      <w:r>
        <w:rPr>
          <w:rFonts w:cs="Arial"/>
        </w:rPr>
        <w:t xml:space="preserve"> deploying the best practice</w:t>
      </w:r>
      <w:r w:rsidRPr="00FB578A">
        <w:rPr>
          <w:rFonts w:cs="Arial"/>
        </w:rPr>
        <w:t xml:space="preserve"> displayed in localities across all of our community teams</w:t>
      </w:r>
    </w:p>
    <w:p w:rsidR="00E2507D" w:rsidRPr="00FB578A" w:rsidP="00E2507D">
      <w:pPr>
        <w:numPr>
          <w:ilvl w:val="0"/>
          <w:numId w:val="40"/>
        </w:numPr>
        <w:spacing w:after="0"/>
        <w:contextualSpacing/>
        <w:rPr>
          <w:rFonts w:cs="Arial"/>
        </w:rPr>
      </w:pPr>
      <w:r w:rsidRPr="00FB578A">
        <w:rPr>
          <w:rFonts w:cs="Arial"/>
        </w:rPr>
        <w:t>£6.067m (of which £5.700m has been declared unachievable and added back into the MTFS and £367,000 is delayed until 2020/21) in relation to working with NHS colleagues to reduce inappropriate referrals</w:t>
      </w:r>
      <w:r>
        <w:rPr>
          <w:rFonts w:cs="Arial"/>
        </w:rPr>
        <w:t xml:space="preserve"> from hospital </w:t>
      </w:r>
      <w:r w:rsidRPr="00FB578A">
        <w:rPr>
          <w:rFonts w:cs="Arial"/>
        </w:rPr>
        <w:t>to residential care</w:t>
      </w:r>
    </w:p>
    <w:p w:rsidR="00E2507D" w:rsidRPr="00FB578A" w:rsidP="00E2507D">
      <w:pPr>
        <w:numPr>
          <w:ilvl w:val="0"/>
          <w:numId w:val="40"/>
        </w:numPr>
        <w:spacing w:after="0"/>
        <w:contextualSpacing/>
        <w:rPr>
          <w:rFonts w:cs="Arial"/>
        </w:rPr>
      </w:pPr>
      <w:r w:rsidRPr="00FB578A">
        <w:rPr>
          <w:rFonts w:cs="Arial"/>
        </w:rPr>
        <w:t>A delay until 2020/21 of £3.145m regarding our reablement teams with an overarching aim to maximise the number of existing and potential service users to become as independent as possible and so reduce reliance on formal support and improve quality of Life.</w:t>
      </w:r>
    </w:p>
    <w:p w:rsidR="00E2507D" w:rsidRPr="00FB578A" w:rsidP="00E2507D">
      <w:pPr>
        <w:spacing w:after="0"/>
        <w:ind w:left="790"/>
        <w:contextualSpacing/>
        <w:rPr>
          <w:rFonts w:cs="Arial"/>
        </w:rPr>
      </w:pPr>
    </w:p>
    <w:p w:rsidR="00E2507D" w:rsidRPr="00FB578A" w:rsidP="00E2507D">
      <w:pPr>
        <w:spacing w:after="0"/>
        <w:rPr>
          <w:rFonts w:cs="Arial"/>
        </w:rPr>
      </w:pPr>
      <w:r w:rsidRPr="00FB578A">
        <w:rPr>
          <w:rFonts w:cs="Arial"/>
        </w:rPr>
        <w:t xml:space="preserve">It should be noted that the passport to independence activity has to date been successful in diverting service users away from residential care when leaving acute settings, but less so from community support. </w:t>
      </w:r>
    </w:p>
    <w:p w:rsidR="00E2507D" w:rsidRPr="00FB578A" w:rsidP="00E2507D">
      <w:pPr>
        <w:spacing w:after="0"/>
        <w:rPr>
          <w:rFonts w:cs="Arial"/>
        </w:rPr>
      </w:pPr>
    </w:p>
    <w:p w:rsidR="00E2507D" w:rsidRPr="00FB578A" w:rsidP="00E2507D">
      <w:pPr>
        <w:spacing w:after="0"/>
        <w:rPr>
          <w:rFonts w:cs="Arial"/>
        </w:rPr>
      </w:pPr>
      <w:r w:rsidRPr="00FB578A">
        <w:rPr>
          <w:rFonts w:cs="Arial"/>
        </w:rPr>
        <w:t>There has been significant progress in diverting service users away from residential placements so to that extent the activity has proved beneficial, the project has delivered savings to the end of 2019/20 of £15.861m with a forecast of savings of a further £2.332m in coming years out of a total planned saving of £23.893m.</w:t>
      </w:r>
    </w:p>
    <w:p w:rsidR="00E2507D" w:rsidRPr="00FB578A" w:rsidP="00E2507D">
      <w:pPr>
        <w:spacing w:after="0"/>
        <w:rPr>
          <w:rFonts w:cs="Arial"/>
        </w:rPr>
      </w:pPr>
    </w:p>
    <w:p w:rsidR="00E2507D" w:rsidRPr="00FB578A" w:rsidP="00E2507D">
      <w:pPr>
        <w:spacing w:after="0"/>
        <w:rPr>
          <w:rFonts w:cs="Arial"/>
        </w:rPr>
      </w:pPr>
      <w:r w:rsidRPr="00FB578A">
        <w:rPr>
          <w:rFonts w:cs="Arial"/>
        </w:rPr>
        <w:t>The shortfall has occurred as while there has been great success in diverting service users from residential placements, the length of time that this diversion has remained in place has not been as high as originally forecast. Current indicators are that the avoided admission has lasted for 37 weeks against a target of 52 weeks.</w:t>
      </w:r>
    </w:p>
    <w:p w:rsidR="00E2507D" w:rsidRPr="00FB578A" w:rsidP="00E2507D">
      <w:pPr>
        <w:spacing w:after="0"/>
        <w:rPr>
          <w:rFonts w:cs="Arial"/>
        </w:rPr>
      </w:pPr>
    </w:p>
    <w:p w:rsidR="00E2507D" w:rsidRPr="00FB578A" w:rsidP="00E2507D">
      <w:pPr>
        <w:spacing w:after="0"/>
        <w:rPr>
          <w:rFonts w:cs="Arial"/>
        </w:rPr>
      </w:pPr>
      <w:r w:rsidRPr="00FB578A">
        <w:rPr>
          <w:rFonts w:cs="Arial"/>
        </w:rPr>
        <w:t>As a result of this</w:t>
      </w:r>
      <w:r>
        <w:rPr>
          <w:rFonts w:cs="Arial"/>
        </w:rPr>
        <w:t>,</w:t>
      </w:r>
      <w:r w:rsidRPr="00FB578A">
        <w:rPr>
          <w:rFonts w:cs="Arial"/>
        </w:rPr>
        <w:t xml:space="preserve"> the forecast saving has not been achieved in full. However work continues on the other areas of passport to independence programme with the expectation of delivering further savings, all be it delayed.</w:t>
      </w:r>
    </w:p>
    <w:p w:rsidR="00E2507D" w:rsidRPr="00FB578A" w:rsidP="00E2507D">
      <w:pPr>
        <w:spacing w:after="0"/>
        <w:rPr>
          <w:rFonts w:cs="Arial"/>
        </w:rPr>
      </w:pPr>
    </w:p>
    <w:p w:rsidR="00E2507D" w:rsidRPr="00FB578A" w:rsidP="00E2507D">
      <w:pPr>
        <w:spacing w:after="0"/>
        <w:rPr>
          <w:rFonts w:cs="Arial"/>
          <w:highlight w:val="yellow"/>
        </w:rPr>
      </w:pPr>
      <w:r w:rsidRPr="00FB578A">
        <w:rPr>
          <w:rFonts w:cs="Arial"/>
        </w:rPr>
        <w:t>For example</w:t>
      </w:r>
      <w:r>
        <w:rPr>
          <w:rFonts w:cs="Arial"/>
        </w:rPr>
        <w:t xml:space="preserve"> of ongoing activity,</w:t>
      </w:r>
      <w:r w:rsidRPr="00FB578A">
        <w:rPr>
          <w:rFonts w:cs="Arial"/>
        </w:rPr>
        <w:t xml:space="preserve"> the </w:t>
      </w:r>
      <w:r>
        <w:rPr>
          <w:rFonts w:cs="Arial"/>
        </w:rPr>
        <w:t xml:space="preserve">approach to </w:t>
      </w:r>
      <w:r w:rsidRPr="00FB578A">
        <w:rPr>
          <w:rFonts w:cs="Arial"/>
        </w:rPr>
        <w:t>r</w:t>
      </w:r>
      <w:r>
        <w:rPr>
          <w:rFonts w:cs="Arial"/>
        </w:rPr>
        <w:t>eablement has proved to be</w:t>
      </w:r>
      <w:r w:rsidRPr="00FB578A">
        <w:rPr>
          <w:rFonts w:cs="Arial"/>
        </w:rPr>
        <w:t xml:space="preserve"> effective</w:t>
      </w:r>
      <w:r>
        <w:rPr>
          <w:rFonts w:cs="Arial"/>
        </w:rPr>
        <w:t xml:space="preserve"> in</w:t>
      </w:r>
      <w:r w:rsidRPr="00FB578A">
        <w:rPr>
          <w:rFonts w:cs="Arial"/>
        </w:rPr>
        <w:t xml:space="preserve"> ensuring that service users avoided or delayed the need for residential care but we have not been able t</w:t>
      </w:r>
      <w:r>
        <w:rPr>
          <w:rFonts w:cs="Arial"/>
        </w:rPr>
        <w:t>o reach a challenging target to increase the number of service users supported in this way</w:t>
      </w:r>
      <w:r w:rsidRPr="00FB578A">
        <w:rPr>
          <w:rFonts w:cs="Arial"/>
        </w:rPr>
        <w:t>. Before the Covid emergency</w:t>
      </w:r>
      <w:r>
        <w:rPr>
          <w:rFonts w:cs="Arial"/>
        </w:rPr>
        <w:t>,</w:t>
      </w:r>
      <w:r w:rsidRPr="00FB578A">
        <w:rPr>
          <w:rFonts w:cs="Arial"/>
        </w:rPr>
        <w:t xml:space="preserve"> work had begun on addressing this issue and this work will be recommenced when business returns to a more usual footing.</w:t>
      </w:r>
    </w:p>
    <w:p w:rsidR="00E2507D" w:rsidRPr="00FB578A" w:rsidP="00E2507D">
      <w:pPr>
        <w:spacing w:after="0"/>
        <w:rPr>
          <w:rFonts w:cs="Arial"/>
          <w:highlight w:val="yellow"/>
        </w:rPr>
      </w:pPr>
    </w:p>
    <w:p w:rsidR="00E2507D" w:rsidRPr="00FB578A" w:rsidP="00E2507D">
      <w:pPr>
        <w:spacing w:after="0"/>
        <w:rPr>
          <w:rFonts w:eastAsia="Times New Roman" w:cs="Arial"/>
          <w:b/>
          <w:lang w:eastAsia="en-GB"/>
        </w:rPr>
      </w:pPr>
      <w:r w:rsidRPr="00FB578A">
        <w:rPr>
          <w:rFonts w:eastAsia="Times New Roman" w:cs="Arial"/>
          <w:b/>
          <w:lang w:eastAsia="en-GB"/>
        </w:rPr>
        <w:t>3.2</w:t>
      </w:r>
      <w:r w:rsidRPr="00FB578A">
        <w:rPr>
          <w:rFonts w:eastAsia="Times New Roman" w:cs="Arial"/>
          <w:b/>
          <w:lang w:eastAsia="en-GB"/>
        </w:rPr>
        <w:tab/>
      </w:r>
      <w:r w:rsidRPr="00FB578A">
        <w:rPr>
          <w:rFonts w:cs="Arial"/>
          <w:b/>
        </w:rPr>
        <w:t>Public Health and Wellbeing</w:t>
      </w:r>
    </w:p>
    <w:p w:rsidR="00E2507D" w:rsidRPr="00FB578A" w:rsidP="00E2507D">
      <w:pPr>
        <w:spacing w:after="0"/>
        <w:rPr>
          <w:rFonts w:cs="Arial"/>
        </w:rPr>
      </w:pPr>
    </w:p>
    <w:tbl>
      <w:tblPr>
        <w:tblW w:w="9001" w:type="dxa"/>
        <w:tblLook w:val="04A0"/>
      </w:tblPr>
      <w:tblGrid>
        <w:gridCol w:w="750"/>
        <w:gridCol w:w="2167"/>
        <w:gridCol w:w="1337"/>
        <w:gridCol w:w="1096"/>
        <w:gridCol w:w="1217"/>
        <w:gridCol w:w="1217"/>
        <w:gridCol w:w="1217"/>
      </w:tblGrid>
      <w:tr w:rsidTr="00E2507D">
        <w:tblPrEx>
          <w:tblW w:w="9001" w:type="dxa"/>
          <w:tblLook w:val="04A0"/>
        </w:tblPrEx>
        <w:trPr>
          <w:trHeight w:val="907"/>
        </w:trPr>
        <w:tc>
          <w:tcPr>
            <w:tcW w:w="750" w:type="dxa"/>
            <w:tcBorders>
              <w:top w:val="single" w:sz="4" w:space="0" w:color="auto"/>
              <w:left w:val="single" w:sz="4" w:space="0" w:color="auto"/>
              <w:bottom w:val="nil"/>
              <w:right w:val="single" w:sz="4" w:space="0" w:color="auto"/>
            </w:tcBorders>
            <w:shd w:val="clear" w:color="000000" w:fill="D9D9D9"/>
            <w:vAlign w:val="center"/>
            <w:hideMark/>
          </w:tcPr>
          <w:p w:rsidR="00E2507D" w:rsidRPr="00FB578A" w:rsidP="00E2507D">
            <w:pPr>
              <w:spacing w:after="0"/>
              <w:jc w:val="center"/>
              <w:rPr>
                <w:rFonts w:eastAsia="Times New Roman" w:cs="Arial"/>
                <w:b/>
                <w:bCs/>
                <w:lang w:eastAsia="en-GB"/>
              </w:rPr>
            </w:pPr>
          </w:p>
          <w:p w:rsidR="00E2507D" w:rsidRPr="00FB578A" w:rsidP="00E2507D">
            <w:pPr>
              <w:spacing w:after="0"/>
              <w:jc w:val="center"/>
              <w:rPr>
                <w:rFonts w:eastAsia="Times New Roman" w:cs="Arial"/>
                <w:b/>
                <w:bCs/>
                <w:lang w:eastAsia="en-GB"/>
              </w:rPr>
            </w:pPr>
            <w:r w:rsidRPr="00FB578A">
              <w:rPr>
                <w:rFonts w:eastAsia="Times New Roman" w:cs="Arial"/>
                <w:b/>
                <w:bCs/>
                <w:lang w:eastAsia="en-GB"/>
              </w:rPr>
              <w:t>Ref</w:t>
            </w:r>
          </w:p>
        </w:tc>
        <w:tc>
          <w:tcPr>
            <w:tcW w:w="2167" w:type="dxa"/>
            <w:tcBorders>
              <w:top w:val="single" w:sz="4" w:space="0" w:color="auto"/>
              <w:left w:val="nil"/>
              <w:bottom w:val="nil"/>
              <w:right w:val="single" w:sz="4" w:space="0" w:color="auto"/>
            </w:tcBorders>
            <w:shd w:val="clear" w:color="000000" w:fill="D9D9D9"/>
            <w:vAlign w:val="center"/>
            <w:hideMark/>
          </w:tcPr>
          <w:p w:rsidR="00E2507D" w:rsidRPr="00FB578A" w:rsidP="00E2507D">
            <w:pPr>
              <w:spacing w:after="0"/>
              <w:jc w:val="center"/>
              <w:rPr>
                <w:rFonts w:eastAsia="Times New Roman" w:cs="Arial"/>
                <w:b/>
                <w:bCs/>
                <w:lang w:eastAsia="en-GB"/>
              </w:rPr>
            </w:pPr>
          </w:p>
          <w:p w:rsidR="00E2507D" w:rsidRPr="00FB578A" w:rsidP="00E2507D">
            <w:pPr>
              <w:spacing w:after="0"/>
              <w:jc w:val="center"/>
              <w:rPr>
                <w:rFonts w:eastAsia="Times New Roman" w:cs="Arial"/>
                <w:b/>
                <w:bCs/>
                <w:lang w:eastAsia="en-GB"/>
              </w:rPr>
            </w:pPr>
            <w:r w:rsidRPr="00FB578A">
              <w:rPr>
                <w:rFonts w:eastAsia="Times New Roman" w:cs="Arial"/>
                <w:b/>
                <w:bCs/>
                <w:lang w:eastAsia="en-GB"/>
              </w:rPr>
              <w:t>Head of Service</w:t>
            </w:r>
          </w:p>
        </w:tc>
        <w:tc>
          <w:tcPr>
            <w:tcW w:w="1337" w:type="dxa"/>
            <w:tcBorders>
              <w:top w:val="single" w:sz="4" w:space="0" w:color="auto"/>
              <w:left w:val="nil"/>
              <w:bottom w:val="nil"/>
              <w:right w:val="single" w:sz="4" w:space="0" w:color="auto"/>
            </w:tcBorders>
            <w:shd w:val="clear" w:color="000000" w:fill="D9D9D9"/>
            <w:vAlign w:val="center"/>
            <w:hideMark/>
          </w:tcPr>
          <w:p w:rsidR="00E2507D" w:rsidRPr="00FB578A" w:rsidP="00E2507D">
            <w:pPr>
              <w:spacing w:after="0"/>
              <w:jc w:val="center"/>
              <w:rPr>
                <w:rFonts w:eastAsia="Times New Roman" w:cs="Arial"/>
                <w:b/>
                <w:bCs/>
                <w:lang w:eastAsia="en-GB"/>
              </w:rPr>
            </w:pPr>
            <w:r w:rsidRPr="00FB578A">
              <w:rPr>
                <w:rFonts w:eastAsia="Times New Roman" w:cs="Arial"/>
                <w:b/>
                <w:bCs/>
                <w:lang w:eastAsia="en-GB"/>
              </w:rPr>
              <w:t>Approved Budget</w:t>
            </w:r>
          </w:p>
        </w:tc>
        <w:tc>
          <w:tcPr>
            <w:tcW w:w="1096" w:type="dxa"/>
            <w:tcBorders>
              <w:top w:val="single" w:sz="4" w:space="0" w:color="auto"/>
              <w:left w:val="nil"/>
              <w:bottom w:val="nil"/>
              <w:right w:val="single" w:sz="4" w:space="0" w:color="auto"/>
            </w:tcBorders>
            <w:shd w:val="clear" w:color="000000" w:fill="D9D9D9"/>
            <w:vAlign w:val="center"/>
            <w:hideMark/>
          </w:tcPr>
          <w:p w:rsidR="00E2507D" w:rsidRPr="00FB578A" w:rsidP="00E2507D">
            <w:pPr>
              <w:spacing w:after="0"/>
              <w:jc w:val="center"/>
              <w:rPr>
                <w:rFonts w:eastAsia="Times New Roman" w:cs="Arial"/>
                <w:b/>
                <w:bCs/>
                <w:lang w:eastAsia="en-GB"/>
              </w:rPr>
            </w:pPr>
            <w:r w:rsidRPr="00FB578A">
              <w:rPr>
                <w:rFonts w:eastAsia="Times New Roman" w:cs="Arial"/>
                <w:b/>
                <w:bCs/>
                <w:lang w:eastAsia="en-GB"/>
              </w:rPr>
              <w:t>Outturn</w:t>
            </w:r>
          </w:p>
        </w:tc>
        <w:tc>
          <w:tcPr>
            <w:tcW w:w="1217" w:type="dxa"/>
            <w:tcBorders>
              <w:top w:val="single" w:sz="4" w:space="0" w:color="auto"/>
              <w:left w:val="nil"/>
              <w:bottom w:val="nil"/>
              <w:right w:val="single" w:sz="4" w:space="0" w:color="auto"/>
            </w:tcBorders>
            <w:shd w:val="clear" w:color="000000" w:fill="D9D9D9"/>
            <w:vAlign w:val="center"/>
            <w:hideMark/>
          </w:tcPr>
          <w:p w:rsidR="00E2507D" w:rsidRPr="00FB578A" w:rsidP="00E2507D">
            <w:pPr>
              <w:spacing w:after="0"/>
              <w:jc w:val="center"/>
              <w:rPr>
                <w:rFonts w:eastAsia="Times New Roman" w:cs="Arial"/>
                <w:b/>
                <w:bCs/>
                <w:lang w:eastAsia="en-GB"/>
              </w:rPr>
            </w:pPr>
            <w:r w:rsidRPr="00FB578A">
              <w:rPr>
                <w:rFonts w:eastAsia="Times New Roman" w:cs="Arial"/>
                <w:b/>
                <w:bCs/>
                <w:lang w:eastAsia="en-GB"/>
              </w:rPr>
              <w:t>Outturn Variance</w:t>
            </w:r>
          </w:p>
        </w:tc>
        <w:tc>
          <w:tcPr>
            <w:tcW w:w="1217" w:type="dxa"/>
            <w:tcBorders>
              <w:top w:val="single" w:sz="4" w:space="0" w:color="auto"/>
              <w:left w:val="nil"/>
              <w:bottom w:val="nil"/>
              <w:right w:val="single" w:sz="4" w:space="0" w:color="auto"/>
            </w:tcBorders>
            <w:shd w:val="clear" w:color="000000" w:fill="D9D9D9"/>
            <w:vAlign w:val="center"/>
          </w:tcPr>
          <w:p w:rsidR="00E2507D" w:rsidRPr="00FB578A" w:rsidP="00E2507D">
            <w:pPr>
              <w:spacing w:after="0"/>
              <w:jc w:val="center"/>
              <w:rPr>
                <w:rFonts w:eastAsia="Times New Roman" w:cs="Arial"/>
                <w:b/>
                <w:bCs/>
                <w:lang w:eastAsia="en-GB"/>
              </w:rPr>
            </w:pPr>
            <w:r w:rsidRPr="00FB578A">
              <w:rPr>
                <w:rFonts w:eastAsia="Times New Roman" w:cs="Arial"/>
                <w:b/>
                <w:bCs/>
                <w:lang w:eastAsia="en-GB"/>
              </w:rPr>
              <w:t>Outturn Variance</w:t>
            </w:r>
          </w:p>
        </w:tc>
        <w:tc>
          <w:tcPr>
            <w:tcW w:w="1217" w:type="dxa"/>
            <w:tcBorders>
              <w:top w:val="single" w:sz="4" w:space="0" w:color="auto"/>
              <w:left w:val="single" w:sz="4" w:space="0" w:color="auto"/>
              <w:bottom w:val="nil"/>
              <w:right w:val="single" w:sz="4" w:space="0" w:color="auto"/>
            </w:tcBorders>
            <w:shd w:val="clear" w:color="000000" w:fill="D9D9D9"/>
            <w:vAlign w:val="center"/>
            <w:hideMark/>
          </w:tcPr>
          <w:p w:rsidR="00E2507D" w:rsidRPr="00FB578A" w:rsidP="00E2507D">
            <w:pPr>
              <w:spacing w:after="0"/>
              <w:jc w:val="center"/>
              <w:rPr>
                <w:rFonts w:eastAsia="Times New Roman" w:cs="Arial"/>
                <w:b/>
                <w:bCs/>
                <w:lang w:eastAsia="en-GB"/>
              </w:rPr>
            </w:pPr>
            <w:r w:rsidRPr="00FB578A">
              <w:rPr>
                <w:rFonts w:eastAsia="Times New Roman" w:cs="Arial"/>
                <w:b/>
                <w:bCs/>
                <w:lang w:eastAsia="en-GB"/>
              </w:rPr>
              <w:t>Quarter 3 Forecast Variance</w:t>
            </w:r>
          </w:p>
        </w:tc>
      </w:tr>
      <w:tr w:rsidTr="00E2507D">
        <w:tblPrEx>
          <w:tblW w:w="9001" w:type="dxa"/>
          <w:tblLook w:val="04A0"/>
        </w:tblPrEx>
        <w:trPr>
          <w:trHeight w:val="80"/>
        </w:trPr>
        <w:tc>
          <w:tcPr>
            <w:tcW w:w="750" w:type="dxa"/>
            <w:tcBorders>
              <w:top w:val="nil"/>
              <w:left w:val="single" w:sz="4" w:space="0" w:color="auto"/>
              <w:bottom w:val="single" w:sz="4" w:space="0" w:color="auto"/>
              <w:right w:val="single" w:sz="4" w:space="0" w:color="auto"/>
            </w:tcBorders>
            <w:shd w:val="clear" w:color="000000" w:fill="D9D9D9"/>
            <w:vAlign w:val="bottom"/>
            <w:hideMark/>
          </w:tcPr>
          <w:p w:rsidR="00E2507D" w:rsidRPr="00FB578A" w:rsidP="00E2507D">
            <w:pPr>
              <w:spacing w:after="0"/>
              <w:jc w:val="center"/>
              <w:rPr>
                <w:rFonts w:eastAsia="Times New Roman" w:cs="Arial"/>
                <w:b/>
                <w:bCs/>
                <w:lang w:eastAsia="en-GB"/>
              </w:rPr>
            </w:pPr>
            <w:r w:rsidRPr="00FB578A">
              <w:rPr>
                <w:rFonts w:eastAsia="Times New Roman" w:cs="Arial"/>
                <w:b/>
                <w:bCs/>
                <w:lang w:eastAsia="en-GB"/>
              </w:rPr>
              <w:t> </w:t>
            </w:r>
          </w:p>
        </w:tc>
        <w:tc>
          <w:tcPr>
            <w:tcW w:w="2167" w:type="dxa"/>
            <w:tcBorders>
              <w:top w:val="nil"/>
              <w:left w:val="nil"/>
              <w:bottom w:val="single" w:sz="4" w:space="0" w:color="auto"/>
              <w:right w:val="single" w:sz="4" w:space="0" w:color="auto"/>
            </w:tcBorders>
            <w:shd w:val="clear" w:color="000000" w:fill="D9D9D9"/>
            <w:vAlign w:val="bottom"/>
            <w:hideMark/>
          </w:tcPr>
          <w:p w:rsidR="00E2507D" w:rsidRPr="00FB578A" w:rsidP="00E2507D">
            <w:pPr>
              <w:spacing w:after="0"/>
              <w:jc w:val="center"/>
              <w:rPr>
                <w:rFonts w:eastAsia="Times New Roman" w:cs="Arial"/>
                <w:b/>
                <w:bCs/>
                <w:lang w:eastAsia="en-GB"/>
              </w:rPr>
            </w:pPr>
            <w:r w:rsidRPr="00FB578A">
              <w:rPr>
                <w:rFonts w:eastAsia="Times New Roman" w:cs="Arial"/>
                <w:b/>
                <w:bCs/>
                <w:lang w:eastAsia="en-GB"/>
              </w:rPr>
              <w:t> </w:t>
            </w:r>
          </w:p>
        </w:tc>
        <w:tc>
          <w:tcPr>
            <w:tcW w:w="1337" w:type="dxa"/>
            <w:tcBorders>
              <w:top w:val="nil"/>
              <w:left w:val="nil"/>
              <w:bottom w:val="single" w:sz="4" w:space="0" w:color="auto"/>
              <w:right w:val="single" w:sz="4" w:space="0" w:color="auto"/>
            </w:tcBorders>
            <w:shd w:val="clear" w:color="000000" w:fill="D9D9D9"/>
            <w:vAlign w:val="bottom"/>
            <w:hideMark/>
          </w:tcPr>
          <w:p w:rsidR="00E2507D" w:rsidRPr="00FB578A" w:rsidP="00E2507D">
            <w:pPr>
              <w:spacing w:after="0"/>
              <w:jc w:val="center"/>
              <w:rPr>
                <w:rFonts w:eastAsia="Times New Roman" w:cs="Arial"/>
                <w:b/>
                <w:bCs/>
                <w:lang w:eastAsia="en-GB"/>
              </w:rPr>
            </w:pPr>
            <w:r w:rsidRPr="00FB578A">
              <w:rPr>
                <w:rFonts w:eastAsia="Times New Roman" w:cs="Arial"/>
                <w:b/>
                <w:bCs/>
                <w:lang w:eastAsia="en-GB"/>
              </w:rPr>
              <w:t xml:space="preserve"> £m </w:t>
            </w:r>
          </w:p>
        </w:tc>
        <w:tc>
          <w:tcPr>
            <w:tcW w:w="1096" w:type="dxa"/>
            <w:tcBorders>
              <w:top w:val="nil"/>
              <w:left w:val="nil"/>
              <w:bottom w:val="single" w:sz="4" w:space="0" w:color="auto"/>
              <w:right w:val="single" w:sz="4" w:space="0" w:color="auto"/>
            </w:tcBorders>
            <w:shd w:val="clear" w:color="000000" w:fill="D9D9D9"/>
            <w:vAlign w:val="bottom"/>
            <w:hideMark/>
          </w:tcPr>
          <w:p w:rsidR="00E2507D" w:rsidRPr="00FB578A" w:rsidP="00E2507D">
            <w:pPr>
              <w:spacing w:after="0"/>
              <w:jc w:val="center"/>
              <w:rPr>
                <w:rFonts w:eastAsia="Times New Roman" w:cs="Arial"/>
                <w:b/>
                <w:bCs/>
                <w:lang w:eastAsia="en-GB"/>
              </w:rPr>
            </w:pPr>
            <w:r w:rsidRPr="00FB578A">
              <w:rPr>
                <w:rFonts w:eastAsia="Times New Roman" w:cs="Arial"/>
                <w:b/>
                <w:bCs/>
                <w:lang w:eastAsia="en-GB"/>
              </w:rPr>
              <w:t xml:space="preserve"> £m </w:t>
            </w:r>
          </w:p>
        </w:tc>
        <w:tc>
          <w:tcPr>
            <w:tcW w:w="1217" w:type="dxa"/>
            <w:tcBorders>
              <w:top w:val="nil"/>
              <w:left w:val="nil"/>
              <w:bottom w:val="single" w:sz="4" w:space="0" w:color="auto"/>
              <w:right w:val="single" w:sz="4" w:space="0" w:color="auto"/>
            </w:tcBorders>
            <w:shd w:val="clear" w:color="000000" w:fill="D9D9D9"/>
            <w:vAlign w:val="bottom"/>
            <w:hideMark/>
          </w:tcPr>
          <w:p w:rsidR="00E2507D" w:rsidRPr="00FB578A" w:rsidP="00E2507D">
            <w:pPr>
              <w:spacing w:after="0"/>
              <w:jc w:val="center"/>
              <w:rPr>
                <w:rFonts w:eastAsia="Times New Roman" w:cs="Arial"/>
                <w:b/>
                <w:bCs/>
                <w:lang w:eastAsia="en-GB"/>
              </w:rPr>
            </w:pPr>
            <w:r w:rsidRPr="00FB578A">
              <w:rPr>
                <w:rFonts w:eastAsia="Times New Roman" w:cs="Arial"/>
                <w:b/>
                <w:bCs/>
                <w:lang w:eastAsia="en-GB"/>
              </w:rPr>
              <w:t xml:space="preserve"> £m </w:t>
            </w:r>
          </w:p>
        </w:tc>
        <w:tc>
          <w:tcPr>
            <w:tcW w:w="1217" w:type="dxa"/>
            <w:tcBorders>
              <w:top w:val="nil"/>
              <w:left w:val="nil"/>
              <w:bottom w:val="single" w:sz="4" w:space="0" w:color="auto"/>
              <w:right w:val="single" w:sz="4" w:space="0" w:color="auto"/>
            </w:tcBorders>
            <w:shd w:val="clear" w:color="000000" w:fill="D9D9D9"/>
            <w:vAlign w:val="bottom"/>
          </w:tcPr>
          <w:p w:rsidR="00E2507D" w:rsidRPr="00FB578A" w:rsidP="00E2507D">
            <w:pPr>
              <w:spacing w:after="0"/>
              <w:jc w:val="center"/>
              <w:rPr>
                <w:rFonts w:eastAsia="Times New Roman" w:cs="Arial"/>
                <w:b/>
                <w:bCs/>
                <w:lang w:eastAsia="en-GB"/>
              </w:rPr>
            </w:pPr>
            <w:r w:rsidRPr="00FB578A">
              <w:rPr>
                <w:rFonts w:eastAsia="Times New Roman" w:cs="Arial"/>
                <w:b/>
                <w:bCs/>
                <w:lang w:eastAsia="en-GB"/>
              </w:rPr>
              <w:t>%</w:t>
            </w:r>
          </w:p>
        </w:tc>
        <w:tc>
          <w:tcPr>
            <w:tcW w:w="1217" w:type="dxa"/>
            <w:tcBorders>
              <w:top w:val="nil"/>
              <w:left w:val="single" w:sz="4" w:space="0" w:color="auto"/>
              <w:bottom w:val="single" w:sz="4" w:space="0" w:color="auto"/>
              <w:right w:val="single" w:sz="4" w:space="0" w:color="auto"/>
            </w:tcBorders>
            <w:shd w:val="clear" w:color="000000" w:fill="D9D9D9"/>
            <w:vAlign w:val="bottom"/>
            <w:hideMark/>
          </w:tcPr>
          <w:p w:rsidR="00E2507D" w:rsidRPr="00FB578A" w:rsidP="00E2507D">
            <w:pPr>
              <w:spacing w:after="0"/>
              <w:jc w:val="center"/>
              <w:rPr>
                <w:rFonts w:eastAsia="Times New Roman" w:cs="Arial"/>
                <w:b/>
                <w:bCs/>
                <w:lang w:eastAsia="en-GB"/>
              </w:rPr>
            </w:pPr>
            <w:r w:rsidRPr="00FB578A">
              <w:rPr>
                <w:rFonts w:eastAsia="Times New Roman" w:cs="Arial"/>
                <w:b/>
                <w:bCs/>
                <w:lang w:eastAsia="en-GB"/>
              </w:rPr>
              <w:t xml:space="preserve"> £m </w:t>
            </w:r>
          </w:p>
        </w:tc>
      </w:tr>
      <w:tr w:rsidTr="00E2507D">
        <w:tblPrEx>
          <w:tblW w:w="9001" w:type="dxa"/>
          <w:tblLook w:val="04A0"/>
        </w:tblPrEx>
        <w:trPr>
          <w:trHeight w:val="692"/>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E2507D" w:rsidRPr="00FB578A" w:rsidP="00E2507D">
            <w:pPr>
              <w:spacing w:after="0"/>
              <w:jc w:val="center"/>
              <w:rPr>
                <w:rFonts w:eastAsia="Times New Roman" w:cs="Arial"/>
                <w:b/>
                <w:bCs/>
                <w:lang w:eastAsia="en-GB"/>
              </w:rPr>
            </w:pPr>
            <w:r w:rsidRPr="00FB578A">
              <w:rPr>
                <w:rFonts w:eastAsia="Times New Roman" w:cs="Arial"/>
                <w:b/>
                <w:bCs/>
                <w:lang w:eastAsia="en-GB"/>
              </w:rPr>
              <w:t>3.2.1</w:t>
            </w:r>
          </w:p>
        </w:tc>
        <w:tc>
          <w:tcPr>
            <w:tcW w:w="2167" w:type="dxa"/>
            <w:tcBorders>
              <w:top w:val="nil"/>
              <w:left w:val="nil"/>
              <w:bottom w:val="single" w:sz="4" w:space="0" w:color="auto"/>
              <w:right w:val="single" w:sz="4" w:space="0" w:color="auto"/>
            </w:tcBorders>
            <w:shd w:val="clear" w:color="auto" w:fill="auto"/>
            <w:vAlign w:val="center"/>
            <w:hideMark/>
          </w:tcPr>
          <w:p w:rsidR="00E2507D" w:rsidRPr="00FB578A" w:rsidP="00E2507D">
            <w:pPr>
              <w:spacing w:after="0"/>
              <w:rPr>
                <w:rFonts w:eastAsia="Times New Roman" w:cs="Arial"/>
                <w:lang w:eastAsia="en-GB"/>
              </w:rPr>
            </w:pPr>
            <w:r w:rsidRPr="00FB578A">
              <w:rPr>
                <w:rFonts w:eastAsia="Times New Roman" w:cs="Arial"/>
                <w:lang w:eastAsia="en-GB"/>
              </w:rPr>
              <w:t>Public Health &amp; Wellbeing</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2507D" w:rsidRPr="00FB578A" w:rsidP="00E2507D">
            <w:pPr>
              <w:spacing w:after="0"/>
              <w:jc w:val="right"/>
              <w:rPr>
                <w:rFonts w:eastAsia="Times New Roman" w:cs="Arial"/>
                <w:lang w:eastAsia="en-GB"/>
              </w:rPr>
            </w:pPr>
            <w:r w:rsidRPr="00FB578A">
              <w:rPr>
                <w:rFonts w:eastAsia="Times New Roman" w:cs="Arial"/>
                <w:lang w:eastAsia="en-GB"/>
              </w:rPr>
              <w:t>-66.103</w:t>
            </w:r>
          </w:p>
        </w:tc>
        <w:tc>
          <w:tcPr>
            <w:tcW w:w="1096" w:type="dxa"/>
            <w:tcBorders>
              <w:top w:val="single" w:sz="4" w:space="0" w:color="auto"/>
              <w:left w:val="nil"/>
              <w:bottom w:val="single" w:sz="4" w:space="0" w:color="auto"/>
              <w:right w:val="single" w:sz="4" w:space="0" w:color="auto"/>
            </w:tcBorders>
            <w:shd w:val="clear" w:color="auto" w:fill="auto"/>
            <w:vAlign w:val="center"/>
          </w:tcPr>
          <w:p w:rsidR="00E2507D" w:rsidRPr="00FB578A" w:rsidP="00E2507D">
            <w:pPr>
              <w:spacing w:after="0"/>
              <w:jc w:val="right"/>
              <w:rPr>
                <w:rFonts w:eastAsia="Times New Roman" w:cs="Arial"/>
                <w:lang w:eastAsia="en-GB"/>
              </w:rPr>
            </w:pPr>
            <w:r w:rsidRPr="00FB578A">
              <w:rPr>
                <w:rFonts w:cs="Arial"/>
              </w:rPr>
              <w:t>-66.025</w:t>
            </w:r>
          </w:p>
        </w:tc>
        <w:tc>
          <w:tcPr>
            <w:tcW w:w="1217" w:type="dxa"/>
            <w:tcBorders>
              <w:top w:val="single" w:sz="4" w:space="0" w:color="auto"/>
              <w:left w:val="nil"/>
              <w:bottom w:val="single" w:sz="4" w:space="0" w:color="auto"/>
              <w:right w:val="single" w:sz="4" w:space="0" w:color="auto"/>
            </w:tcBorders>
            <w:shd w:val="clear" w:color="000000" w:fill="D9D9D9"/>
            <w:vAlign w:val="center"/>
          </w:tcPr>
          <w:p w:rsidR="00E2507D" w:rsidRPr="00FB578A" w:rsidP="00E2507D">
            <w:pPr>
              <w:spacing w:after="0"/>
              <w:jc w:val="right"/>
              <w:rPr>
                <w:rFonts w:eastAsia="Times New Roman" w:cs="Arial"/>
                <w:lang w:eastAsia="en-GB"/>
              </w:rPr>
            </w:pPr>
            <w:r w:rsidRPr="00FB578A">
              <w:rPr>
                <w:rFonts w:cs="Arial"/>
              </w:rPr>
              <w:t>0.078</w:t>
            </w:r>
          </w:p>
        </w:tc>
        <w:tc>
          <w:tcPr>
            <w:tcW w:w="1217" w:type="dxa"/>
            <w:tcBorders>
              <w:top w:val="single" w:sz="4" w:space="0" w:color="auto"/>
              <w:left w:val="single" w:sz="4" w:space="0" w:color="auto"/>
              <w:bottom w:val="single" w:sz="4" w:space="0" w:color="auto"/>
              <w:right w:val="single" w:sz="4" w:space="0" w:color="auto"/>
            </w:tcBorders>
            <w:vAlign w:val="center"/>
          </w:tcPr>
          <w:p w:rsidR="00E2507D" w:rsidRPr="00FB578A" w:rsidP="00E2507D">
            <w:pPr>
              <w:spacing w:after="0"/>
              <w:jc w:val="right"/>
              <w:rPr>
                <w:rFonts w:cs="Arial"/>
              </w:rPr>
            </w:pPr>
            <w:r w:rsidRPr="00FB578A">
              <w:rPr>
                <w:rFonts w:cs="Arial"/>
              </w:rPr>
              <w:t>0.12%</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E2507D" w:rsidRPr="00FB578A" w:rsidP="00E2507D">
            <w:pPr>
              <w:spacing w:after="0"/>
              <w:jc w:val="right"/>
              <w:rPr>
                <w:rFonts w:eastAsia="Times New Roman" w:cs="Arial"/>
                <w:lang w:eastAsia="en-GB"/>
              </w:rPr>
            </w:pPr>
            <w:r w:rsidRPr="00FB578A">
              <w:rPr>
                <w:rFonts w:cs="Arial"/>
              </w:rPr>
              <w:t>0.037</w:t>
            </w:r>
          </w:p>
        </w:tc>
      </w:tr>
      <w:tr w:rsidTr="00E2507D">
        <w:tblPrEx>
          <w:tblW w:w="9001" w:type="dxa"/>
          <w:tblLook w:val="04A0"/>
        </w:tblPrEx>
        <w:trPr>
          <w:trHeight w:val="692"/>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E2507D" w:rsidRPr="00FB578A" w:rsidP="00E2507D">
            <w:pPr>
              <w:spacing w:after="0"/>
              <w:jc w:val="center"/>
              <w:rPr>
                <w:rFonts w:eastAsia="Times New Roman" w:cs="Arial"/>
                <w:b/>
                <w:bCs/>
                <w:lang w:eastAsia="en-GB"/>
              </w:rPr>
            </w:pPr>
            <w:r w:rsidRPr="00FB578A">
              <w:rPr>
                <w:rFonts w:eastAsia="Times New Roman" w:cs="Arial"/>
                <w:b/>
                <w:bCs/>
                <w:lang w:eastAsia="en-GB"/>
              </w:rPr>
              <w:t>3.2.2</w:t>
            </w:r>
          </w:p>
        </w:tc>
        <w:tc>
          <w:tcPr>
            <w:tcW w:w="2167" w:type="dxa"/>
            <w:tcBorders>
              <w:top w:val="nil"/>
              <w:left w:val="nil"/>
              <w:bottom w:val="single" w:sz="4" w:space="0" w:color="auto"/>
              <w:right w:val="single" w:sz="4" w:space="0" w:color="auto"/>
            </w:tcBorders>
            <w:shd w:val="clear" w:color="000000" w:fill="FFFFFF"/>
            <w:vAlign w:val="center"/>
            <w:hideMark/>
          </w:tcPr>
          <w:p w:rsidR="00E2507D" w:rsidRPr="00FB578A" w:rsidP="00E2507D">
            <w:pPr>
              <w:spacing w:after="0"/>
              <w:rPr>
                <w:rFonts w:eastAsia="Times New Roman" w:cs="Arial"/>
                <w:lang w:eastAsia="en-GB"/>
              </w:rPr>
            </w:pPr>
            <w:r w:rsidRPr="00FB578A">
              <w:rPr>
                <w:rFonts w:eastAsia="Times New Roman" w:cs="Arial"/>
                <w:lang w:eastAsia="en-GB"/>
              </w:rPr>
              <w:t>Health Equity Welfare &amp; Partnerships</w:t>
            </w:r>
          </w:p>
        </w:tc>
        <w:tc>
          <w:tcPr>
            <w:tcW w:w="1337" w:type="dxa"/>
            <w:tcBorders>
              <w:top w:val="nil"/>
              <w:left w:val="single" w:sz="4" w:space="0" w:color="auto"/>
              <w:bottom w:val="single" w:sz="4" w:space="0" w:color="auto"/>
              <w:right w:val="single" w:sz="4" w:space="0" w:color="auto"/>
            </w:tcBorders>
            <w:shd w:val="clear" w:color="auto" w:fill="auto"/>
            <w:vAlign w:val="center"/>
          </w:tcPr>
          <w:p w:rsidR="00E2507D" w:rsidRPr="00FB578A" w:rsidP="00E2507D">
            <w:pPr>
              <w:spacing w:after="0"/>
              <w:jc w:val="right"/>
              <w:rPr>
                <w:rFonts w:eastAsia="Times New Roman" w:cs="Arial"/>
                <w:lang w:eastAsia="en-GB"/>
              </w:rPr>
            </w:pPr>
            <w:r w:rsidRPr="00FB578A">
              <w:rPr>
                <w:rFonts w:eastAsia="Times New Roman" w:cs="Arial"/>
                <w:lang w:eastAsia="en-GB"/>
              </w:rPr>
              <w:t>61.769</w:t>
            </w:r>
          </w:p>
        </w:tc>
        <w:tc>
          <w:tcPr>
            <w:tcW w:w="1096" w:type="dxa"/>
            <w:tcBorders>
              <w:top w:val="nil"/>
              <w:left w:val="nil"/>
              <w:bottom w:val="single" w:sz="4" w:space="0" w:color="auto"/>
              <w:right w:val="single" w:sz="4" w:space="0" w:color="auto"/>
            </w:tcBorders>
            <w:shd w:val="clear" w:color="auto" w:fill="auto"/>
            <w:vAlign w:val="center"/>
          </w:tcPr>
          <w:p w:rsidR="00E2507D" w:rsidRPr="00FB578A" w:rsidP="00E2507D">
            <w:pPr>
              <w:spacing w:after="0"/>
              <w:jc w:val="right"/>
              <w:rPr>
                <w:rFonts w:eastAsia="Times New Roman" w:cs="Arial"/>
                <w:lang w:eastAsia="en-GB"/>
              </w:rPr>
            </w:pPr>
            <w:r w:rsidRPr="00FB578A">
              <w:rPr>
                <w:rFonts w:cs="Arial"/>
              </w:rPr>
              <w:t>60.875</w:t>
            </w:r>
          </w:p>
        </w:tc>
        <w:tc>
          <w:tcPr>
            <w:tcW w:w="1217" w:type="dxa"/>
            <w:tcBorders>
              <w:top w:val="nil"/>
              <w:left w:val="nil"/>
              <w:bottom w:val="single" w:sz="4" w:space="0" w:color="auto"/>
              <w:right w:val="single" w:sz="4" w:space="0" w:color="auto"/>
            </w:tcBorders>
            <w:shd w:val="clear" w:color="000000" w:fill="D9D9D9"/>
            <w:vAlign w:val="center"/>
          </w:tcPr>
          <w:p w:rsidR="00E2507D" w:rsidRPr="00FB578A" w:rsidP="00E2507D">
            <w:pPr>
              <w:spacing w:after="0"/>
              <w:jc w:val="right"/>
              <w:rPr>
                <w:rFonts w:eastAsia="Times New Roman" w:cs="Arial"/>
                <w:lang w:eastAsia="en-GB"/>
              </w:rPr>
            </w:pPr>
            <w:r w:rsidRPr="00FB578A">
              <w:rPr>
                <w:rFonts w:cs="Arial"/>
              </w:rPr>
              <w:t>-0.894</w:t>
            </w:r>
          </w:p>
        </w:tc>
        <w:tc>
          <w:tcPr>
            <w:tcW w:w="1217" w:type="dxa"/>
            <w:tcBorders>
              <w:top w:val="nil"/>
              <w:left w:val="single" w:sz="4" w:space="0" w:color="auto"/>
              <w:bottom w:val="single" w:sz="4" w:space="0" w:color="auto"/>
              <w:right w:val="single" w:sz="4" w:space="0" w:color="auto"/>
            </w:tcBorders>
            <w:vAlign w:val="center"/>
          </w:tcPr>
          <w:p w:rsidR="00E2507D" w:rsidRPr="00FB578A" w:rsidP="00E2507D">
            <w:pPr>
              <w:spacing w:after="0"/>
              <w:jc w:val="right"/>
              <w:rPr>
                <w:rFonts w:cs="Arial"/>
              </w:rPr>
            </w:pPr>
            <w:r w:rsidRPr="00FB578A">
              <w:rPr>
                <w:rFonts w:cs="Arial"/>
              </w:rPr>
              <w:t>-1.45%</w:t>
            </w:r>
          </w:p>
        </w:tc>
        <w:tc>
          <w:tcPr>
            <w:tcW w:w="1217" w:type="dxa"/>
            <w:tcBorders>
              <w:top w:val="nil"/>
              <w:left w:val="single" w:sz="4" w:space="0" w:color="auto"/>
              <w:bottom w:val="single" w:sz="4" w:space="0" w:color="auto"/>
              <w:right w:val="single" w:sz="4" w:space="0" w:color="auto"/>
            </w:tcBorders>
            <w:shd w:val="clear" w:color="auto" w:fill="auto"/>
            <w:vAlign w:val="center"/>
          </w:tcPr>
          <w:p w:rsidR="00E2507D" w:rsidRPr="00FB578A" w:rsidP="00E2507D">
            <w:pPr>
              <w:spacing w:after="0"/>
              <w:jc w:val="right"/>
              <w:rPr>
                <w:rFonts w:eastAsia="Times New Roman" w:cs="Arial"/>
                <w:lang w:eastAsia="en-GB"/>
              </w:rPr>
            </w:pPr>
            <w:r w:rsidRPr="00FB578A">
              <w:rPr>
                <w:rFonts w:cs="Arial"/>
              </w:rPr>
              <w:t>-0.067</w:t>
            </w:r>
          </w:p>
        </w:tc>
      </w:tr>
      <w:tr w:rsidTr="00E2507D">
        <w:tblPrEx>
          <w:tblW w:w="9001" w:type="dxa"/>
          <w:tblLook w:val="04A0"/>
        </w:tblPrEx>
        <w:trPr>
          <w:trHeight w:val="692"/>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E2507D" w:rsidRPr="00FB578A" w:rsidP="00E2507D">
            <w:pPr>
              <w:spacing w:after="0"/>
              <w:jc w:val="center"/>
              <w:rPr>
                <w:rFonts w:eastAsia="Times New Roman" w:cs="Arial"/>
                <w:b/>
                <w:bCs/>
                <w:lang w:eastAsia="en-GB"/>
              </w:rPr>
            </w:pPr>
            <w:r w:rsidRPr="00FB578A">
              <w:rPr>
                <w:rFonts w:eastAsia="Times New Roman" w:cs="Arial"/>
                <w:b/>
                <w:bCs/>
                <w:lang w:eastAsia="en-GB"/>
              </w:rPr>
              <w:t>3.2.3</w:t>
            </w:r>
          </w:p>
        </w:tc>
        <w:tc>
          <w:tcPr>
            <w:tcW w:w="2167" w:type="dxa"/>
            <w:tcBorders>
              <w:top w:val="nil"/>
              <w:left w:val="nil"/>
              <w:bottom w:val="single" w:sz="4" w:space="0" w:color="auto"/>
              <w:right w:val="single" w:sz="4" w:space="0" w:color="auto"/>
            </w:tcBorders>
            <w:shd w:val="clear" w:color="000000" w:fill="FFFFFF"/>
            <w:vAlign w:val="center"/>
            <w:hideMark/>
          </w:tcPr>
          <w:p w:rsidR="00E2507D" w:rsidRPr="00FB578A" w:rsidP="00E2507D">
            <w:pPr>
              <w:spacing w:after="0"/>
              <w:rPr>
                <w:rFonts w:eastAsia="Times New Roman" w:cs="Arial"/>
                <w:lang w:eastAsia="en-GB"/>
              </w:rPr>
            </w:pPr>
            <w:r w:rsidRPr="00FB578A">
              <w:rPr>
                <w:rFonts w:eastAsia="Times New Roman" w:cs="Arial"/>
                <w:lang w:eastAsia="en-GB"/>
              </w:rPr>
              <w:t>Health, Safety &amp; Resilience</w:t>
            </w:r>
          </w:p>
        </w:tc>
        <w:tc>
          <w:tcPr>
            <w:tcW w:w="1337" w:type="dxa"/>
            <w:tcBorders>
              <w:top w:val="nil"/>
              <w:left w:val="single" w:sz="4" w:space="0" w:color="auto"/>
              <w:bottom w:val="single" w:sz="4" w:space="0" w:color="auto"/>
              <w:right w:val="single" w:sz="4" w:space="0" w:color="auto"/>
            </w:tcBorders>
            <w:shd w:val="clear" w:color="auto" w:fill="auto"/>
            <w:vAlign w:val="center"/>
          </w:tcPr>
          <w:p w:rsidR="00E2507D" w:rsidRPr="00FB578A" w:rsidP="00E2507D">
            <w:pPr>
              <w:spacing w:after="0"/>
              <w:jc w:val="right"/>
              <w:rPr>
                <w:rFonts w:eastAsia="Times New Roman" w:cs="Arial"/>
                <w:lang w:eastAsia="en-GB"/>
              </w:rPr>
            </w:pPr>
            <w:r w:rsidRPr="00FB578A">
              <w:rPr>
                <w:rFonts w:eastAsia="Times New Roman" w:cs="Arial"/>
                <w:lang w:eastAsia="en-GB"/>
              </w:rPr>
              <w:t>0.632</w:t>
            </w:r>
          </w:p>
        </w:tc>
        <w:tc>
          <w:tcPr>
            <w:tcW w:w="1096" w:type="dxa"/>
            <w:tcBorders>
              <w:top w:val="nil"/>
              <w:left w:val="nil"/>
              <w:bottom w:val="single" w:sz="4" w:space="0" w:color="auto"/>
              <w:right w:val="single" w:sz="4" w:space="0" w:color="auto"/>
            </w:tcBorders>
            <w:shd w:val="clear" w:color="auto" w:fill="auto"/>
            <w:vAlign w:val="center"/>
          </w:tcPr>
          <w:p w:rsidR="00E2507D" w:rsidRPr="00FB578A" w:rsidP="00E2507D">
            <w:pPr>
              <w:spacing w:after="0"/>
              <w:jc w:val="right"/>
              <w:rPr>
                <w:rFonts w:eastAsia="Times New Roman" w:cs="Arial"/>
                <w:lang w:eastAsia="en-GB"/>
              </w:rPr>
            </w:pPr>
            <w:r w:rsidRPr="00FB578A">
              <w:rPr>
                <w:rFonts w:cs="Arial"/>
              </w:rPr>
              <w:t>0.367</w:t>
            </w:r>
          </w:p>
        </w:tc>
        <w:tc>
          <w:tcPr>
            <w:tcW w:w="1217" w:type="dxa"/>
            <w:tcBorders>
              <w:top w:val="nil"/>
              <w:left w:val="nil"/>
              <w:bottom w:val="single" w:sz="4" w:space="0" w:color="auto"/>
              <w:right w:val="single" w:sz="4" w:space="0" w:color="auto"/>
            </w:tcBorders>
            <w:shd w:val="clear" w:color="000000" w:fill="D9D9D9"/>
            <w:vAlign w:val="center"/>
          </w:tcPr>
          <w:p w:rsidR="00E2507D" w:rsidRPr="00FB578A" w:rsidP="00E2507D">
            <w:pPr>
              <w:spacing w:after="0"/>
              <w:jc w:val="right"/>
              <w:rPr>
                <w:rFonts w:eastAsia="Times New Roman" w:cs="Arial"/>
                <w:lang w:eastAsia="en-GB"/>
              </w:rPr>
            </w:pPr>
            <w:r w:rsidRPr="00FB578A">
              <w:rPr>
                <w:rFonts w:cs="Arial"/>
              </w:rPr>
              <w:t>-0.265</w:t>
            </w:r>
          </w:p>
        </w:tc>
        <w:tc>
          <w:tcPr>
            <w:tcW w:w="1217" w:type="dxa"/>
            <w:tcBorders>
              <w:top w:val="nil"/>
              <w:left w:val="single" w:sz="4" w:space="0" w:color="auto"/>
              <w:bottom w:val="single" w:sz="4" w:space="0" w:color="auto"/>
              <w:right w:val="single" w:sz="4" w:space="0" w:color="auto"/>
            </w:tcBorders>
            <w:vAlign w:val="center"/>
          </w:tcPr>
          <w:p w:rsidR="00E2507D" w:rsidRPr="00FB578A" w:rsidP="00E2507D">
            <w:pPr>
              <w:spacing w:after="0"/>
              <w:jc w:val="right"/>
              <w:rPr>
                <w:rFonts w:cs="Arial"/>
              </w:rPr>
            </w:pPr>
            <w:r w:rsidRPr="00FB578A">
              <w:rPr>
                <w:rFonts w:cs="Arial"/>
              </w:rPr>
              <w:t>-41.93%</w:t>
            </w:r>
          </w:p>
        </w:tc>
        <w:tc>
          <w:tcPr>
            <w:tcW w:w="1217" w:type="dxa"/>
            <w:tcBorders>
              <w:top w:val="nil"/>
              <w:left w:val="single" w:sz="4" w:space="0" w:color="auto"/>
              <w:bottom w:val="single" w:sz="4" w:space="0" w:color="auto"/>
              <w:right w:val="single" w:sz="4" w:space="0" w:color="auto"/>
            </w:tcBorders>
            <w:shd w:val="clear" w:color="auto" w:fill="auto"/>
            <w:vAlign w:val="center"/>
          </w:tcPr>
          <w:p w:rsidR="00E2507D" w:rsidRPr="00FB578A" w:rsidP="00E2507D">
            <w:pPr>
              <w:spacing w:after="0"/>
              <w:jc w:val="right"/>
              <w:rPr>
                <w:rFonts w:eastAsia="Times New Roman" w:cs="Arial"/>
                <w:lang w:eastAsia="en-GB"/>
              </w:rPr>
            </w:pPr>
            <w:r w:rsidRPr="00FB578A">
              <w:rPr>
                <w:rFonts w:cs="Arial"/>
              </w:rPr>
              <w:t>-0.263</w:t>
            </w:r>
          </w:p>
        </w:tc>
      </w:tr>
      <w:tr w:rsidTr="00E2507D">
        <w:tblPrEx>
          <w:tblW w:w="9001" w:type="dxa"/>
          <w:tblLook w:val="04A0"/>
        </w:tblPrEx>
        <w:trPr>
          <w:trHeight w:val="692"/>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E2507D" w:rsidRPr="00FB578A" w:rsidP="00E2507D">
            <w:pPr>
              <w:spacing w:after="0"/>
              <w:jc w:val="center"/>
              <w:rPr>
                <w:rFonts w:eastAsia="Times New Roman" w:cs="Arial"/>
                <w:b/>
                <w:bCs/>
                <w:lang w:eastAsia="en-GB"/>
              </w:rPr>
            </w:pPr>
            <w:r w:rsidRPr="00FB578A">
              <w:rPr>
                <w:rFonts w:eastAsia="Times New Roman" w:cs="Arial"/>
                <w:b/>
                <w:bCs/>
                <w:lang w:eastAsia="en-GB"/>
              </w:rPr>
              <w:t>3.2.4</w:t>
            </w:r>
          </w:p>
        </w:tc>
        <w:tc>
          <w:tcPr>
            <w:tcW w:w="2167" w:type="dxa"/>
            <w:tcBorders>
              <w:top w:val="nil"/>
              <w:left w:val="nil"/>
              <w:bottom w:val="single" w:sz="4" w:space="0" w:color="auto"/>
              <w:right w:val="single" w:sz="4" w:space="0" w:color="auto"/>
            </w:tcBorders>
            <w:shd w:val="clear" w:color="000000" w:fill="FFFFFF"/>
            <w:vAlign w:val="center"/>
            <w:hideMark/>
          </w:tcPr>
          <w:p w:rsidR="00E2507D" w:rsidRPr="00FB578A" w:rsidP="00E2507D">
            <w:pPr>
              <w:spacing w:after="0"/>
              <w:rPr>
                <w:rFonts w:eastAsia="Times New Roman" w:cs="Arial"/>
                <w:lang w:eastAsia="en-GB"/>
              </w:rPr>
            </w:pPr>
            <w:r w:rsidRPr="00FB578A">
              <w:rPr>
                <w:rFonts w:eastAsia="Times New Roman" w:cs="Arial"/>
                <w:lang w:eastAsia="en-GB"/>
              </w:rPr>
              <w:t>Trading Standards and Scientific Services</w:t>
            </w:r>
          </w:p>
        </w:tc>
        <w:tc>
          <w:tcPr>
            <w:tcW w:w="1337" w:type="dxa"/>
            <w:tcBorders>
              <w:top w:val="nil"/>
              <w:left w:val="single" w:sz="4" w:space="0" w:color="auto"/>
              <w:bottom w:val="single" w:sz="4" w:space="0" w:color="auto"/>
              <w:right w:val="single" w:sz="4" w:space="0" w:color="auto"/>
            </w:tcBorders>
            <w:shd w:val="clear" w:color="auto" w:fill="auto"/>
            <w:vAlign w:val="center"/>
          </w:tcPr>
          <w:p w:rsidR="00E2507D" w:rsidRPr="00FB578A" w:rsidP="00E2507D">
            <w:pPr>
              <w:spacing w:after="0"/>
              <w:jc w:val="right"/>
              <w:rPr>
                <w:rFonts w:eastAsia="Times New Roman" w:cs="Arial"/>
                <w:lang w:eastAsia="en-GB"/>
              </w:rPr>
            </w:pPr>
            <w:r w:rsidRPr="00FB578A">
              <w:rPr>
                <w:rFonts w:eastAsia="Times New Roman" w:cs="Arial"/>
                <w:lang w:eastAsia="en-GB"/>
              </w:rPr>
              <w:t>3.217</w:t>
            </w:r>
          </w:p>
        </w:tc>
        <w:tc>
          <w:tcPr>
            <w:tcW w:w="1096" w:type="dxa"/>
            <w:tcBorders>
              <w:top w:val="nil"/>
              <w:left w:val="nil"/>
              <w:bottom w:val="single" w:sz="4" w:space="0" w:color="auto"/>
              <w:right w:val="single" w:sz="4" w:space="0" w:color="auto"/>
            </w:tcBorders>
            <w:shd w:val="clear" w:color="auto" w:fill="auto"/>
            <w:vAlign w:val="center"/>
          </w:tcPr>
          <w:p w:rsidR="00E2507D" w:rsidRPr="00FB578A" w:rsidP="00E2507D">
            <w:pPr>
              <w:spacing w:after="0"/>
              <w:jc w:val="right"/>
              <w:rPr>
                <w:rFonts w:eastAsia="Times New Roman" w:cs="Arial"/>
                <w:lang w:eastAsia="en-GB"/>
              </w:rPr>
            </w:pPr>
            <w:r w:rsidRPr="00FB578A">
              <w:rPr>
                <w:rFonts w:cs="Arial"/>
              </w:rPr>
              <w:t>3.609</w:t>
            </w:r>
          </w:p>
        </w:tc>
        <w:tc>
          <w:tcPr>
            <w:tcW w:w="1217" w:type="dxa"/>
            <w:tcBorders>
              <w:top w:val="nil"/>
              <w:left w:val="nil"/>
              <w:bottom w:val="single" w:sz="4" w:space="0" w:color="auto"/>
              <w:right w:val="single" w:sz="4" w:space="0" w:color="auto"/>
            </w:tcBorders>
            <w:shd w:val="clear" w:color="000000" w:fill="D9D9D9"/>
            <w:vAlign w:val="center"/>
          </w:tcPr>
          <w:p w:rsidR="00E2507D" w:rsidRPr="00FB578A" w:rsidP="00E2507D">
            <w:pPr>
              <w:spacing w:after="0"/>
              <w:jc w:val="right"/>
              <w:rPr>
                <w:rFonts w:eastAsia="Times New Roman" w:cs="Arial"/>
                <w:lang w:eastAsia="en-GB"/>
              </w:rPr>
            </w:pPr>
            <w:r w:rsidRPr="00FB578A">
              <w:rPr>
                <w:rFonts w:cs="Arial"/>
              </w:rPr>
              <w:t>0.392</w:t>
            </w:r>
          </w:p>
        </w:tc>
        <w:tc>
          <w:tcPr>
            <w:tcW w:w="1217" w:type="dxa"/>
            <w:tcBorders>
              <w:top w:val="nil"/>
              <w:left w:val="single" w:sz="4" w:space="0" w:color="auto"/>
              <w:bottom w:val="single" w:sz="4" w:space="0" w:color="auto"/>
              <w:right w:val="single" w:sz="4" w:space="0" w:color="auto"/>
            </w:tcBorders>
            <w:vAlign w:val="center"/>
          </w:tcPr>
          <w:p w:rsidR="00E2507D" w:rsidRPr="00FB578A" w:rsidP="00E2507D">
            <w:pPr>
              <w:spacing w:after="0"/>
              <w:jc w:val="right"/>
              <w:rPr>
                <w:rFonts w:cs="Arial"/>
              </w:rPr>
            </w:pPr>
            <w:r w:rsidRPr="00FB578A">
              <w:rPr>
                <w:rFonts w:cs="Arial"/>
              </w:rPr>
              <w:t>12.19%</w:t>
            </w:r>
          </w:p>
        </w:tc>
        <w:tc>
          <w:tcPr>
            <w:tcW w:w="1217" w:type="dxa"/>
            <w:tcBorders>
              <w:top w:val="nil"/>
              <w:left w:val="single" w:sz="4" w:space="0" w:color="auto"/>
              <w:bottom w:val="single" w:sz="4" w:space="0" w:color="auto"/>
              <w:right w:val="single" w:sz="4" w:space="0" w:color="auto"/>
            </w:tcBorders>
            <w:shd w:val="clear" w:color="auto" w:fill="auto"/>
            <w:vAlign w:val="center"/>
          </w:tcPr>
          <w:p w:rsidR="00E2507D" w:rsidRPr="00FB578A" w:rsidP="00E2507D">
            <w:pPr>
              <w:spacing w:after="0"/>
              <w:jc w:val="right"/>
              <w:rPr>
                <w:rFonts w:eastAsia="Times New Roman" w:cs="Arial"/>
                <w:lang w:eastAsia="en-GB"/>
              </w:rPr>
            </w:pPr>
            <w:r w:rsidRPr="00FB578A">
              <w:rPr>
                <w:rFonts w:cs="Arial"/>
              </w:rPr>
              <w:t>0.215</w:t>
            </w:r>
          </w:p>
        </w:tc>
      </w:tr>
      <w:tr w:rsidTr="00E2507D">
        <w:tblPrEx>
          <w:tblW w:w="9001" w:type="dxa"/>
          <w:tblLook w:val="04A0"/>
        </w:tblPrEx>
        <w:trPr>
          <w:trHeight w:val="725"/>
        </w:trPr>
        <w:tc>
          <w:tcPr>
            <w:tcW w:w="750" w:type="dxa"/>
            <w:tcBorders>
              <w:top w:val="nil"/>
              <w:left w:val="single" w:sz="4" w:space="0" w:color="auto"/>
              <w:bottom w:val="single" w:sz="4" w:space="0" w:color="auto"/>
              <w:right w:val="single" w:sz="4" w:space="0" w:color="auto"/>
            </w:tcBorders>
            <w:shd w:val="clear" w:color="000000" w:fill="D9D9D9"/>
            <w:vAlign w:val="center"/>
            <w:hideMark/>
          </w:tcPr>
          <w:p w:rsidR="00E2507D" w:rsidRPr="00FB578A" w:rsidP="00E2507D">
            <w:pPr>
              <w:spacing w:after="0"/>
              <w:jc w:val="center"/>
              <w:rPr>
                <w:rFonts w:eastAsia="Times New Roman" w:cs="Arial"/>
                <w:b/>
                <w:bCs/>
                <w:lang w:eastAsia="en-GB"/>
              </w:rPr>
            </w:pPr>
            <w:r w:rsidRPr="00FB578A">
              <w:rPr>
                <w:rFonts w:eastAsia="Times New Roman" w:cs="Arial"/>
                <w:b/>
                <w:bCs/>
                <w:lang w:eastAsia="en-GB"/>
              </w:rPr>
              <w:t> </w:t>
            </w:r>
          </w:p>
        </w:tc>
        <w:tc>
          <w:tcPr>
            <w:tcW w:w="2167" w:type="dxa"/>
            <w:tcBorders>
              <w:top w:val="nil"/>
              <w:left w:val="nil"/>
              <w:bottom w:val="single" w:sz="4" w:space="0" w:color="auto"/>
              <w:right w:val="single" w:sz="4" w:space="0" w:color="auto"/>
            </w:tcBorders>
            <w:shd w:val="clear" w:color="000000" w:fill="D9D9D9"/>
            <w:vAlign w:val="center"/>
            <w:hideMark/>
          </w:tcPr>
          <w:p w:rsidR="00E2507D" w:rsidRPr="00FB578A" w:rsidP="00E2507D">
            <w:pPr>
              <w:spacing w:after="0"/>
              <w:rPr>
                <w:rFonts w:eastAsia="Times New Roman" w:cs="Arial"/>
                <w:b/>
                <w:bCs/>
                <w:lang w:eastAsia="en-GB"/>
              </w:rPr>
            </w:pPr>
            <w:r w:rsidRPr="00FB578A">
              <w:rPr>
                <w:rFonts w:eastAsia="Times New Roman" w:cs="Arial"/>
                <w:b/>
                <w:bCs/>
                <w:lang w:eastAsia="en-GB"/>
              </w:rPr>
              <w:t>Total - Public Health &amp; Wellbeing</w:t>
            </w:r>
          </w:p>
        </w:tc>
        <w:tc>
          <w:tcPr>
            <w:tcW w:w="1337" w:type="dxa"/>
            <w:tcBorders>
              <w:top w:val="single" w:sz="4" w:space="0" w:color="auto"/>
              <w:left w:val="single" w:sz="4" w:space="0" w:color="auto"/>
              <w:bottom w:val="single" w:sz="4" w:space="0" w:color="auto"/>
              <w:right w:val="single" w:sz="4" w:space="0" w:color="auto"/>
            </w:tcBorders>
            <w:shd w:val="clear" w:color="000000" w:fill="D9D9D9"/>
            <w:vAlign w:val="center"/>
          </w:tcPr>
          <w:p w:rsidR="00E2507D" w:rsidRPr="00FB578A" w:rsidP="00E2507D">
            <w:pPr>
              <w:spacing w:after="0"/>
              <w:jc w:val="right"/>
              <w:rPr>
                <w:rFonts w:eastAsia="Times New Roman" w:cs="Arial"/>
                <w:b/>
                <w:bCs/>
                <w:lang w:eastAsia="en-GB"/>
              </w:rPr>
            </w:pPr>
            <w:r w:rsidRPr="00FB578A">
              <w:rPr>
                <w:rFonts w:eastAsia="Times New Roman" w:cs="Arial"/>
                <w:b/>
                <w:bCs/>
                <w:lang w:eastAsia="en-GB"/>
              </w:rPr>
              <w:t>-0.485</w:t>
            </w:r>
          </w:p>
        </w:tc>
        <w:tc>
          <w:tcPr>
            <w:tcW w:w="1096" w:type="dxa"/>
            <w:tcBorders>
              <w:top w:val="single" w:sz="4" w:space="0" w:color="auto"/>
              <w:left w:val="nil"/>
              <w:bottom w:val="single" w:sz="4" w:space="0" w:color="auto"/>
              <w:right w:val="single" w:sz="4" w:space="0" w:color="auto"/>
            </w:tcBorders>
            <w:shd w:val="clear" w:color="000000" w:fill="D9D9D9"/>
            <w:vAlign w:val="center"/>
          </w:tcPr>
          <w:p w:rsidR="00E2507D" w:rsidRPr="00FB578A" w:rsidP="00E2507D">
            <w:pPr>
              <w:spacing w:after="0"/>
              <w:jc w:val="right"/>
              <w:rPr>
                <w:rFonts w:eastAsia="Times New Roman" w:cs="Arial"/>
                <w:b/>
                <w:bCs/>
                <w:lang w:eastAsia="en-GB"/>
              </w:rPr>
            </w:pPr>
            <w:r>
              <w:rPr>
                <w:rFonts w:cs="Arial"/>
                <w:b/>
                <w:bCs/>
              </w:rPr>
              <w:t>-1.175</w:t>
            </w:r>
          </w:p>
        </w:tc>
        <w:tc>
          <w:tcPr>
            <w:tcW w:w="1217" w:type="dxa"/>
            <w:tcBorders>
              <w:top w:val="single" w:sz="4" w:space="0" w:color="auto"/>
              <w:left w:val="nil"/>
              <w:bottom w:val="single" w:sz="4" w:space="0" w:color="auto"/>
              <w:right w:val="single" w:sz="4" w:space="0" w:color="auto"/>
            </w:tcBorders>
            <w:shd w:val="clear" w:color="000000" w:fill="D9D9D9"/>
            <w:vAlign w:val="center"/>
          </w:tcPr>
          <w:p w:rsidR="00E2507D" w:rsidRPr="00FB578A" w:rsidP="00E2507D">
            <w:pPr>
              <w:spacing w:after="0"/>
              <w:jc w:val="right"/>
              <w:rPr>
                <w:rFonts w:eastAsia="Times New Roman" w:cs="Arial"/>
                <w:b/>
                <w:bCs/>
                <w:lang w:eastAsia="en-GB"/>
              </w:rPr>
            </w:pPr>
            <w:r w:rsidRPr="00FB578A">
              <w:rPr>
                <w:rFonts w:cs="Arial"/>
                <w:b/>
                <w:bCs/>
              </w:rPr>
              <w:t>-0</w:t>
            </w:r>
            <w:r>
              <w:rPr>
                <w:rFonts w:cs="Arial"/>
                <w:b/>
                <w:bCs/>
              </w:rPr>
              <w:t>.690</w:t>
            </w:r>
          </w:p>
        </w:tc>
        <w:tc>
          <w:tcPr>
            <w:tcW w:w="1217" w:type="dxa"/>
            <w:tcBorders>
              <w:top w:val="nil"/>
              <w:left w:val="nil"/>
              <w:bottom w:val="single" w:sz="4" w:space="0" w:color="auto"/>
              <w:right w:val="single" w:sz="4" w:space="0" w:color="auto"/>
            </w:tcBorders>
            <w:shd w:val="clear" w:color="000000" w:fill="D9D9D9"/>
            <w:vAlign w:val="center"/>
          </w:tcPr>
          <w:p w:rsidR="00E2507D" w:rsidRPr="00FB578A" w:rsidP="00E2507D">
            <w:pPr>
              <w:spacing w:after="0"/>
              <w:ind w:right="-117"/>
              <w:jc w:val="right"/>
              <w:rPr>
                <w:rFonts w:eastAsia="Times New Roman" w:cs="Arial"/>
                <w:b/>
                <w:bCs/>
                <w:lang w:eastAsia="en-GB"/>
              </w:rPr>
            </w:pPr>
            <w:r>
              <w:rPr>
                <w:rFonts w:eastAsia="Times New Roman" w:cs="Arial"/>
                <w:b/>
                <w:bCs/>
                <w:lang w:eastAsia="en-GB"/>
              </w:rPr>
              <w:t>-142.27</w:t>
            </w:r>
            <w:r w:rsidRPr="00FB578A">
              <w:rPr>
                <w:rFonts w:eastAsia="Times New Roman" w:cs="Arial"/>
                <w:b/>
                <w:bCs/>
                <w:lang w:eastAsia="en-GB"/>
              </w:rPr>
              <w:t>%</w:t>
            </w:r>
          </w:p>
        </w:tc>
        <w:tc>
          <w:tcPr>
            <w:tcW w:w="1217" w:type="dxa"/>
            <w:tcBorders>
              <w:top w:val="nil"/>
              <w:left w:val="single" w:sz="4" w:space="0" w:color="auto"/>
              <w:bottom w:val="single" w:sz="4" w:space="0" w:color="auto"/>
              <w:right w:val="single" w:sz="4" w:space="0" w:color="auto"/>
            </w:tcBorders>
            <w:shd w:val="clear" w:color="000000" w:fill="D9D9D9"/>
            <w:vAlign w:val="center"/>
          </w:tcPr>
          <w:p w:rsidR="00E2507D" w:rsidRPr="00FB578A" w:rsidP="00E2507D">
            <w:pPr>
              <w:spacing w:after="0"/>
              <w:jc w:val="right"/>
              <w:rPr>
                <w:rFonts w:eastAsia="Times New Roman" w:cs="Arial"/>
                <w:b/>
                <w:bCs/>
                <w:lang w:eastAsia="en-GB"/>
              </w:rPr>
            </w:pPr>
            <w:r w:rsidRPr="00FB578A">
              <w:rPr>
                <w:rFonts w:eastAsia="Times New Roman" w:cs="Arial"/>
                <w:b/>
                <w:bCs/>
                <w:lang w:eastAsia="en-GB"/>
              </w:rPr>
              <w:t>-0.078</w:t>
            </w:r>
          </w:p>
        </w:tc>
      </w:tr>
    </w:tbl>
    <w:p w:rsidR="00E2507D" w:rsidRPr="00FB578A" w:rsidP="00E2507D">
      <w:pPr>
        <w:spacing w:after="0"/>
        <w:rPr>
          <w:rFonts w:cs="Arial"/>
          <w:highlight w:val="yellow"/>
        </w:rPr>
      </w:pPr>
    </w:p>
    <w:p w:rsidR="00E2507D" w:rsidRPr="00E43DB4" w:rsidP="00E2507D">
      <w:pPr>
        <w:spacing w:after="0"/>
        <w:rPr>
          <w:rFonts w:cs="Arial"/>
        </w:rPr>
      </w:pPr>
      <w:r w:rsidRPr="00FB578A">
        <w:rPr>
          <w:rFonts w:cs="Arial"/>
        </w:rPr>
        <w:t>Public Health and</w:t>
      </w:r>
      <w:r>
        <w:rPr>
          <w:rFonts w:cs="Arial"/>
        </w:rPr>
        <w:t xml:space="preserve"> Wellbeing has underspent by £6</w:t>
      </w:r>
      <w:r w:rsidRPr="00FB578A">
        <w:rPr>
          <w:rFonts w:cs="Arial"/>
        </w:rPr>
        <w:t>9</w:t>
      </w:r>
      <w:r>
        <w:rPr>
          <w:rFonts w:cs="Arial"/>
        </w:rPr>
        <w:t>0</w:t>
      </w:r>
      <w:r w:rsidRPr="00FB578A">
        <w:rPr>
          <w:rFonts w:cs="Arial"/>
        </w:rPr>
        <w:t xml:space="preserve">,000 in 2019/20. The forecast </w:t>
      </w:r>
      <w:r>
        <w:rPr>
          <w:rFonts w:cs="Arial"/>
        </w:rPr>
        <w:t>underspend has increased by £612</w:t>
      </w:r>
      <w:r w:rsidRPr="00FB578A">
        <w:rPr>
          <w:rFonts w:cs="Arial"/>
        </w:rPr>
        <w:t>,000 compared to the quarter 3 reported position. This is mainly due to a lower than forecast overspend on the sexual health contract.</w:t>
      </w:r>
    </w:p>
    <w:p w:rsidR="00E2507D" w:rsidP="00E2507D">
      <w:pPr>
        <w:spacing w:after="0"/>
        <w:rPr>
          <w:rFonts w:cs="Arial"/>
          <w:b/>
        </w:rPr>
      </w:pPr>
    </w:p>
    <w:p w:rsidR="007E7B11" w:rsidRPr="00FB578A" w:rsidP="00E2507D">
      <w:pPr>
        <w:spacing w:after="0"/>
        <w:rPr>
          <w:rFonts w:cs="Arial"/>
          <w:b/>
        </w:rPr>
      </w:pPr>
    </w:p>
    <w:p w:rsidR="00E2507D" w:rsidRPr="00FB578A" w:rsidP="00E2507D">
      <w:pPr>
        <w:spacing w:after="0"/>
        <w:rPr>
          <w:rFonts w:cs="Arial"/>
          <w:b/>
        </w:rPr>
      </w:pPr>
      <w:r w:rsidRPr="00FB578A">
        <w:rPr>
          <w:rFonts w:cs="Arial"/>
          <w:b/>
        </w:rPr>
        <w:t>3.2.1</w:t>
      </w:r>
      <w:r w:rsidRPr="00FB578A">
        <w:rPr>
          <w:rFonts w:cs="Arial"/>
          <w:b/>
        </w:rPr>
        <w:tab/>
        <w:t>Public Health &amp; Wellbeing</w:t>
      </w:r>
    </w:p>
    <w:p w:rsidR="00E2507D" w:rsidRPr="00FB578A" w:rsidP="00E2507D">
      <w:pPr>
        <w:spacing w:after="0"/>
        <w:rPr>
          <w:rFonts w:cs="Arial"/>
        </w:rPr>
      </w:pPr>
      <w:r w:rsidRPr="00FB578A">
        <w:rPr>
          <w:rFonts w:cs="Arial"/>
        </w:rPr>
        <w:t xml:space="preserve">This service area has reported </w:t>
      </w:r>
      <w:r w:rsidRPr="00FB578A">
        <w:rPr>
          <w:rFonts w:cs="Arial"/>
        </w:rPr>
        <w:t>an overspend</w:t>
      </w:r>
      <w:r w:rsidRPr="00FB578A">
        <w:rPr>
          <w:rFonts w:cs="Arial"/>
        </w:rPr>
        <w:t xml:space="preserve"> predominantly as a result of agency cost overspends on consultants. This service area reports the ring-fenced public health grant, for which the costs are deployed predominantly in the Health Equity Welfare and Partnerships service. The underlying cost</w:t>
      </w:r>
      <w:r>
        <w:rPr>
          <w:rFonts w:cs="Arial"/>
        </w:rPr>
        <w:t>s</w:t>
      </w:r>
      <w:r w:rsidRPr="00FB578A">
        <w:rPr>
          <w:rFonts w:cs="Arial"/>
        </w:rPr>
        <w:t xml:space="preserve"> of the service were £539,000 which was a £228,000 underspend.  </w:t>
      </w:r>
    </w:p>
    <w:p w:rsidR="00E2507D" w:rsidRPr="00FB578A" w:rsidP="00E2507D">
      <w:pPr>
        <w:spacing w:after="0"/>
        <w:rPr>
          <w:rFonts w:cs="Arial"/>
        </w:rPr>
      </w:pPr>
    </w:p>
    <w:p w:rsidR="00E2507D" w:rsidRPr="00FB578A" w:rsidP="00E2507D">
      <w:pPr>
        <w:spacing w:after="0"/>
        <w:rPr>
          <w:rFonts w:cs="Arial"/>
          <w:b/>
        </w:rPr>
      </w:pPr>
      <w:r w:rsidRPr="00FB578A">
        <w:rPr>
          <w:rFonts w:cs="Arial"/>
          <w:b/>
        </w:rPr>
        <w:t>3.2.2</w:t>
      </w:r>
      <w:r w:rsidRPr="00FB578A">
        <w:rPr>
          <w:rFonts w:cs="Arial"/>
          <w:b/>
        </w:rPr>
        <w:tab/>
        <w:t>Health Equity Welfare &amp; Partnerships</w:t>
      </w:r>
    </w:p>
    <w:p w:rsidR="00E2507D" w:rsidRPr="00FB578A" w:rsidP="00E2507D">
      <w:pPr>
        <w:spacing w:after="0"/>
        <w:rPr>
          <w:rFonts w:cs="Arial"/>
        </w:rPr>
      </w:pPr>
      <w:r w:rsidRPr="00FB578A">
        <w:rPr>
          <w:rFonts w:cs="Arial"/>
        </w:rPr>
        <w:t xml:space="preserve">The underspend </w:t>
      </w:r>
      <w:r>
        <w:rPr>
          <w:rFonts w:cs="Arial"/>
        </w:rPr>
        <w:t xml:space="preserve">of £894,000 </w:t>
      </w:r>
      <w:r w:rsidRPr="00FB578A">
        <w:rPr>
          <w:rFonts w:cs="Arial"/>
        </w:rPr>
        <w:t>is as a result of variances across a variety of service areas with overspends in Substance Misuse and Home Improvements, being more than offset by underspends in Oral Health, Tobacco and Health Checks and a staffing underspend of £315,000.</w:t>
      </w:r>
    </w:p>
    <w:p w:rsidR="00E2507D" w:rsidRPr="00FB578A" w:rsidP="00E2507D">
      <w:pPr>
        <w:spacing w:after="0"/>
        <w:rPr>
          <w:rFonts w:cs="Arial"/>
        </w:rPr>
      </w:pPr>
    </w:p>
    <w:p w:rsidR="00E2507D" w:rsidRPr="00FB578A" w:rsidP="00E2507D">
      <w:pPr>
        <w:spacing w:after="0"/>
        <w:rPr>
          <w:rFonts w:cs="Arial"/>
          <w:b/>
        </w:rPr>
      </w:pPr>
      <w:r w:rsidRPr="00FB578A">
        <w:rPr>
          <w:rFonts w:cs="Arial"/>
          <w:b/>
        </w:rPr>
        <w:t>3.2.3</w:t>
      </w:r>
      <w:r w:rsidRPr="00FB578A">
        <w:rPr>
          <w:rFonts w:cs="Arial"/>
          <w:b/>
        </w:rPr>
        <w:tab/>
        <w:t>Health, Safety &amp; Resilience</w:t>
      </w:r>
    </w:p>
    <w:p w:rsidR="00E2507D" w:rsidRPr="00FB578A" w:rsidP="00E2507D">
      <w:pPr>
        <w:spacing w:after="0"/>
        <w:rPr>
          <w:rFonts w:cs="Arial"/>
        </w:rPr>
      </w:pPr>
      <w:r w:rsidRPr="00FB578A">
        <w:rPr>
          <w:rFonts w:cs="Arial"/>
        </w:rPr>
        <w:t xml:space="preserve">An underspend </w:t>
      </w:r>
      <w:r>
        <w:rPr>
          <w:rFonts w:cs="Arial"/>
        </w:rPr>
        <w:t xml:space="preserve">of £265,000 </w:t>
      </w:r>
      <w:r w:rsidRPr="00FB578A">
        <w:rPr>
          <w:rFonts w:cs="Arial"/>
        </w:rPr>
        <w:t>has been delivered as a result of the over achievement of income for health &amp; safety and emergency planning.</w:t>
      </w:r>
    </w:p>
    <w:p w:rsidR="00E2507D" w:rsidRPr="00FB578A" w:rsidP="00E2507D">
      <w:pPr>
        <w:spacing w:after="0"/>
        <w:rPr>
          <w:rFonts w:cs="Arial"/>
          <w:highlight w:val="yellow"/>
        </w:rPr>
      </w:pPr>
    </w:p>
    <w:p w:rsidR="00E2507D" w:rsidRPr="00FB578A" w:rsidP="00E2507D">
      <w:pPr>
        <w:spacing w:after="0"/>
        <w:rPr>
          <w:rFonts w:cs="Arial"/>
          <w:b/>
          <w:highlight w:val="yellow"/>
        </w:rPr>
      </w:pPr>
      <w:r w:rsidRPr="00FB578A">
        <w:rPr>
          <w:rFonts w:cs="Arial"/>
          <w:b/>
        </w:rPr>
        <w:t>3.2.4</w:t>
      </w:r>
      <w:r w:rsidRPr="00FB578A">
        <w:rPr>
          <w:rFonts w:cs="Arial"/>
          <w:b/>
        </w:rPr>
        <w:tab/>
        <w:t>Trading Standards and Scientific Services</w:t>
      </w:r>
    </w:p>
    <w:p w:rsidR="00E2507D" w:rsidRPr="00FB578A" w:rsidP="00E2507D">
      <w:pPr>
        <w:spacing w:after="0"/>
        <w:rPr>
          <w:rFonts w:cs="Arial"/>
        </w:rPr>
      </w:pPr>
      <w:r w:rsidRPr="00FB578A">
        <w:rPr>
          <w:rFonts w:cs="Arial"/>
        </w:rPr>
        <w:t>Trading Standards and Scientific Services has overspent</w:t>
      </w:r>
      <w:r>
        <w:rPr>
          <w:rFonts w:cs="Arial"/>
        </w:rPr>
        <w:t xml:space="preserve"> by £392,000</w:t>
      </w:r>
      <w:r w:rsidRPr="00FB578A">
        <w:rPr>
          <w:rFonts w:cs="Arial"/>
        </w:rPr>
        <w:t xml:space="preserve"> predominantly due to service cost pressures within the environmental testing service.</w:t>
      </w:r>
    </w:p>
    <w:p w:rsidR="00E2507D" w:rsidRPr="00FB578A" w:rsidP="00E2507D">
      <w:pPr>
        <w:spacing w:after="0"/>
        <w:rPr>
          <w:rFonts w:cs="Arial"/>
          <w:highlight w:val="yellow"/>
        </w:rPr>
      </w:pPr>
    </w:p>
    <w:p w:rsidR="00E2507D" w:rsidRPr="00FB578A" w:rsidP="00E2507D">
      <w:pPr>
        <w:spacing w:after="0"/>
        <w:rPr>
          <w:rFonts w:cs="Arial"/>
          <w:b/>
          <w:highlight w:val="yellow"/>
          <w:u w:val="single"/>
        </w:rPr>
      </w:pPr>
      <w:r w:rsidRPr="00FB578A">
        <w:rPr>
          <w:rFonts w:cs="Arial"/>
          <w:b/>
          <w:highlight w:val="yellow"/>
          <w:u w:val="single"/>
        </w:rPr>
        <w:br w:type="page"/>
      </w:r>
    </w:p>
    <w:p w:rsidR="00E2507D" w:rsidRPr="00FB578A" w:rsidP="00E2507D">
      <w:pPr>
        <w:spacing w:after="0"/>
        <w:rPr>
          <w:rFonts w:eastAsia="Times New Roman" w:cs="Arial"/>
          <w:b/>
          <w:highlight w:val="yellow"/>
          <w:lang w:eastAsia="en-GB"/>
        </w:rPr>
      </w:pPr>
      <w:r w:rsidRPr="00FB578A">
        <w:rPr>
          <w:rFonts w:eastAsia="Times New Roman" w:cs="Arial"/>
          <w:b/>
          <w:lang w:eastAsia="en-GB"/>
        </w:rPr>
        <w:t>3.3</w:t>
      </w:r>
      <w:r w:rsidRPr="00FB578A">
        <w:rPr>
          <w:rFonts w:eastAsia="Times New Roman" w:cs="Arial"/>
          <w:b/>
          <w:lang w:eastAsia="en-GB"/>
        </w:rPr>
        <w:tab/>
      </w:r>
      <w:r w:rsidRPr="00FB578A">
        <w:rPr>
          <w:rFonts w:cs="Arial"/>
          <w:b/>
        </w:rPr>
        <w:t>Policy, Information, Commissioning and Safeguarding</w:t>
      </w:r>
    </w:p>
    <w:p w:rsidR="00E2507D" w:rsidRPr="00FB578A" w:rsidP="00E2507D">
      <w:pPr>
        <w:spacing w:after="0"/>
        <w:rPr>
          <w:rFonts w:cs="Arial"/>
          <w:b/>
          <w:highlight w:val="yellow"/>
          <w:u w:val="single"/>
        </w:rPr>
      </w:pPr>
    </w:p>
    <w:tbl>
      <w:tblPr>
        <w:tblW w:w="9001" w:type="dxa"/>
        <w:tblLook w:val="04A0"/>
      </w:tblPr>
      <w:tblGrid>
        <w:gridCol w:w="750"/>
        <w:gridCol w:w="2167"/>
        <w:gridCol w:w="1337"/>
        <w:gridCol w:w="1096"/>
        <w:gridCol w:w="1217"/>
        <w:gridCol w:w="1217"/>
        <w:gridCol w:w="1217"/>
      </w:tblGrid>
      <w:tr w:rsidTr="00E2507D">
        <w:tblPrEx>
          <w:tblW w:w="9001" w:type="dxa"/>
          <w:tblLook w:val="04A0"/>
        </w:tblPrEx>
        <w:trPr>
          <w:trHeight w:val="907"/>
        </w:trPr>
        <w:tc>
          <w:tcPr>
            <w:tcW w:w="750" w:type="dxa"/>
            <w:tcBorders>
              <w:top w:val="single" w:sz="4" w:space="0" w:color="auto"/>
              <w:left w:val="single" w:sz="4" w:space="0" w:color="auto"/>
              <w:bottom w:val="nil"/>
              <w:right w:val="single" w:sz="4" w:space="0" w:color="auto"/>
            </w:tcBorders>
            <w:shd w:val="clear" w:color="000000" w:fill="D9D9D9"/>
            <w:vAlign w:val="center"/>
            <w:hideMark/>
          </w:tcPr>
          <w:p w:rsidR="00E2507D" w:rsidRPr="00FB578A" w:rsidP="00E2507D">
            <w:pPr>
              <w:spacing w:after="0"/>
              <w:jc w:val="center"/>
              <w:rPr>
                <w:rFonts w:eastAsia="Times New Roman" w:cs="Arial"/>
                <w:b/>
                <w:bCs/>
                <w:lang w:eastAsia="en-GB"/>
              </w:rPr>
            </w:pPr>
          </w:p>
          <w:p w:rsidR="00E2507D" w:rsidRPr="00FB578A" w:rsidP="00E2507D">
            <w:pPr>
              <w:spacing w:after="0"/>
              <w:jc w:val="center"/>
              <w:rPr>
                <w:rFonts w:eastAsia="Times New Roman" w:cs="Arial"/>
                <w:b/>
                <w:bCs/>
                <w:lang w:eastAsia="en-GB"/>
              </w:rPr>
            </w:pPr>
            <w:r w:rsidRPr="00FB578A">
              <w:rPr>
                <w:rFonts w:eastAsia="Times New Roman" w:cs="Arial"/>
                <w:b/>
                <w:bCs/>
                <w:lang w:eastAsia="en-GB"/>
              </w:rPr>
              <w:t>Ref</w:t>
            </w:r>
          </w:p>
        </w:tc>
        <w:tc>
          <w:tcPr>
            <w:tcW w:w="2167" w:type="dxa"/>
            <w:tcBorders>
              <w:top w:val="single" w:sz="4" w:space="0" w:color="auto"/>
              <w:left w:val="nil"/>
              <w:bottom w:val="nil"/>
              <w:right w:val="single" w:sz="4" w:space="0" w:color="auto"/>
            </w:tcBorders>
            <w:shd w:val="clear" w:color="000000" w:fill="D9D9D9"/>
            <w:vAlign w:val="center"/>
            <w:hideMark/>
          </w:tcPr>
          <w:p w:rsidR="00E2507D" w:rsidRPr="00FB578A" w:rsidP="00E2507D">
            <w:pPr>
              <w:spacing w:after="0"/>
              <w:jc w:val="center"/>
              <w:rPr>
                <w:rFonts w:eastAsia="Times New Roman" w:cs="Arial"/>
                <w:b/>
                <w:bCs/>
                <w:lang w:eastAsia="en-GB"/>
              </w:rPr>
            </w:pPr>
          </w:p>
          <w:p w:rsidR="00E2507D" w:rsidRPr="00FB578A" w:rsidP="00E2507D">
            <w:pPr>
              <w:spacing w:after="0"/>
              <w:jc w:val="center"/>
              <w:rPr>
                <w:rFonts w:eastAsia="Times New Roman" w:cs="Arial"/>
                <w:b/>
                <w:bCs/>
                <w:lang w:eastAsia="en-GB"/>
              </w:rPr>
            </w:pPr>
            <w:r w:rsidRPr="00FB578A">
              <w:rPr>
                <w:rFonts w:eastAsia="Times New Roman" w:cs="Arial"/>
                <w:b/>
                <w:bCs/>
                <w:lang w:eastAsia="en-GB"/>
              </w:rPr>
              <w:t>Head of Service</w:t>
            </w:r>
          </w:p>
        </w:tc>
        <w:tc>
          <w:tcPr>
            <w:tcW w:w="1337" w:type="dxa"/>
            <w:tcBorders>
              <w:top w:val="single" w:sz="4" w:space="0" w:color="auto"/>
              <w:left w:val="nil"/>
              <w:bottom w:val="nil"/>
              <w:right w:val="single" w:sz="4" w:space="0" w:color="auto"/>
            </w:tcBorders>
            <w:shd w:val="clear" w:color="000000" w:fill="D9D9D9"/>
            <w:vAlign w:val="center"/>
            <w:hideMark/>
          </w:tcPr>
          <w:p w:rsidR="00E2507D" w:rsidRPr="00FB578A" w:rsidP="00E2507D">
            <w:pPr>
              <w:spacing w:after="0"/>
              <w:jc w:val="center"/>
              <w:rPr>
                <w:rFonts w:eastAsia="Times New Roman" w:cs="Arial"/>
                <w:b/>
                <w:bCs/>
                <w:lang w:eastAsia="en-GB"/>
              </w:rPr>
            </w:pPr>
            <w:r w:rsidRPr="00FB578A">
              <w:rPr>
                <w:rFonts w:eastAsia="Times New Roman" w:cs="Arial"/>
                <w:b/>
                <w:bCs/>
                <w:lang w:eastAsia="en-GB"/>
              </w:rPr>
              <w:t>Approved Budget</w:t>
            </w:r>
          </w:p>
        </w:tc>
        <w:tc>
          <w:tcPr>
            <w:tcW w:w="1096" w:type="dxa"/>
            <w:tcBorders>
              <w:top w:val="single" w:sz="4" w:space="0" w:color="auto"/>
              <w:left w:val="nil"/>
              <w:bottom w:val="nil"/>
              <w:right w:val="single" w:sz="4" w:space="0" w:color="auto"/>
            </w:tcBorders>
            <w:shd w:val="clear" w:color="000000" w:fill="D9D9D9"/>
            <w:vAlign w:val="center"/>
            <w:hideMark/>
          </w:tcPr>
          <w:p w:rsidR="00E2507D" w:rsidRPr="00FB578A" w:rsidP="00E2507D">
            <w:pPr>
              <w:spacing w:after="0"/>
              <w:jc w:val="center"/>
              <w:rPr>
                <w:rFonts w:eastAsia="Times New Roman" w:cs="Arial"/>
                <w:b/>
                <w:bCs/>
                <w:lang w:eastAsia="en-GB"/>
              </w:rPr>
            </w:pPr>
            <w:r w:rsidRPr="00FB578A">
              <w:rPr>
                <w:rFonts w:eastAsia="Times New Roman" w:cs="Arial"/>
                <w:b/>
                <w:bCs/>
                <w:lang w:eastAsia="en-GB"/>
              </w:rPr>
              <w:t>Outturn</w:t>
            </w:r>
          </w:p>
        </w:tc>
        <w:tc>
          <w:tcPr>
            <w:tcW w:w="1217" w:type="dxa"/>
            <w:tcBorders>
              <w:top w:val="single" w:sz="4" w:space="0" w:color="auto"/>
              <w:left w:val="nil"/>
              <w:bottom w:val="nil"/>
              <w:right w:val="single" w:sz="4" w:space="0" w:color="auto"/>
            </w:tcBorders>
            <w:shd w:val="clear" w:color="000000" w:fill="D9D9D9"/>
            <w:vAlign w:val="center"/>
            <w:hideMark/>
          </w:tcPr>
          <w:p w:rsidR="00E2507D" w:rsidRPr="00FB578A" w:rsidP="00E2507D">
            <w:pPr>
              <w:spacing w:after="0"/>
              <w:jc w:val="center"/>
              <w:rPr>
                <w:rFonts w:eastAsia="Times New Roman" w:cs="Arial"/>
                <w:b/>
                <w:bCs/>
                <w:lang w:eastAsia="en-GB"/>
              </w:rPr>
            </w:pPr>
            <w:r w:rsidRPr="00FB578A">
              <w:rPr>
                <w:rFonts w:eastAsia="Times New Roman" w:cs="Arial"/>
                <w:b/>
                <w:bCs/>
                <w:lang w:eastAsia="en-GB"/>
              </w:rPr>
              <w:t>Outturn Variance</w:t>
            </w:r>
          </w:p>
        </w:tc>
        <w:tc>
          <w:tcPr>
            <w:tcW w:w="1217" w:type="dxa"/>
            <w:tcBorders>
              <w:top w:val="single" w:sz="4" w:space="0" w:color="auto"/>
              <w:left w:val="nil"/>
              <w:bottom w:val="nil"/>
              <w:right w:val="single" w:sz="4" w:space="0" w:color="auto"/>
            </w:tcBorders>
            <w:shd w:val="clear" w:color="000000" w:fill="D9D9D9"/>
            <w:vAlign w:val="center"/>
          </w:tcPr>
          <w:p w:rsidR="00E2507D" w:rsidRPr="00FB578A" w:rsidP="00E2507D">
            <w:pPr>
              <w:spacing w:after="0"/>
              <w:jc w:val="center"/>
              <w:rPr>
                <w:rFonts w:eastAsia="Times New Roman" w:cs="Arial"/>
                <w:b/>
                <w:bCs/>
                <w:lang w:eastAsia="en-GB"/>
              </w:rPr>
            </w:pPr>
            <w:r w:rsidRPr="00FB578A">
              <w:rPr>
                <w:rFonts w:eastAsia="Times New Roman" w:cs="Arial"/>
                <w:b/>
                <w:bCs/>
                <w:lang w:eastAsia="en-GB"/>
              </w:rPr>
              <w:t>Outturn Variance</w:t>
            </w:r>
          </w:p>
        </w:tc>
        <w:tc>
          <w:tcPr>
            <w:tcW w:w="1217" w:type="dxa"/>
            <w:tcBorders>
              <w:top w:val="single" w:sz="4" w:space="0" w:color="auto"/>
              <w:left w:val="single" w:sz="4" w:space="0" w:color="auto"/>
              <w:bottom w:val="nil"/>
              <w:right w:val="single" w:sz="4" w:space="0" w:color="auto"/>
            </w:tcBorders>
            <w:shd w:val="clear" w:color="000000" w:fill="D9D9D9"/>
            <w:vAlign w:val="center"/>
            <w:hideMark/>
          </w:tcPr>
          <w:p w:rsidR="00E2507D" w:rsidRPr="00FB578A" w:rsidP="00E2507D">
            <w:pPr>
              <w:spacing w:after="0"/>
              <w:jc w:val="center"/>
              <w:rPr>
                <w:rFonts w:eastAsia="Times New Roman" w:cs="Arial"/>
                <w:b/>
                <w:bCs/>
                <w:lang w:eastAsia="en-GB"/>
              </w:rPr>
            </w:pPr>
            <w:r w:rsidRPr="00FB578A">
              <w:rPr>
                <w:rFonts w:eastAsia="Times New Roman" w:cs="Arial"/>
                <w:b/>
                <w:bCs/>
                <w:lang w:eastAsia="en-GB"/>
              </w:rPr>
              <w:t>Quarter 3 Forecast Variance</w:t>
            </w:r>
          </w:p>
        </w:tc>
      </w:tr>
      <w:tr w:rsidTr="00E2507D">
        <w:tblPrEx>
          <w:tblW w:w="9001" w:type="dxa"/>
          <w:tblLook w:val="04A0"/>
        </w:tblPrEx>
        <w:trPr>
          <w:trHeight w:val="80"/>
        </w:trPr>
        <w:tc>
          <w:tcPr>
            <w:tcW w:w="750" w:type="dxa"/>
            <w:tcBorders>
              <w:top w:val="nil"/>
              <w:left w:val="single" w:sz="4" w:space="0" w:color="auto"/>
              <w:bottom w:val="single" w:sz="4" w:space="0" w:color="auto"/>
              <w:right w:val="single" w:sz="4" w:space="0" w:color="auto"/>
            </w:tcBorders>
            <w:shd w:val="clear" w:color="000000" w:fill="D9D9D9"/>
            <w:vAlign w:val="bottom"/>
            <w:hideMark/>
          </w:tcPr>
          <w:p w:rsidR="00E2507D" w:rsidRPr="00FB578A" w:rsidP="00E2507D">
            <w:pPr>
              <w:spacing w:after="0"/>
              <w:jc w:val="center"/>
              <w:rPr>
                <w:rFonts w:eastAsia="Times New Roman" w:cs="Arial"/>
                <w:b/>
                <w:bCs/>
                <w:lang w:eastAsia="en-GB"/>
              </w:rPr>
            </w:pPr>
            <w:r w:rsidRPr="00FB578A">
              <w:rPr>
                <w:rFonts w:eastAsia="Times New Roman" w:cs="Arial"/>
                <w:b/>
                <w:bCs/>
                <w:lang w:eastAsia="en-GB"/>
              </w:rPr>
              <w:t> </w:t>
            </w:r>
          </w:p>
        </w:tc>
        <w:tc>
          <w:tcPr>
            <w:tcW w:w="2167" w:type="dxa"/>
            <w:tcBorders>
              <w:top w:val="nil"/>
              <w:left w:val="nil"/>
              <w:bottom w:val="single" w:sz="4" w:space="0" w:color="auto"/>
              <w:right w:val="single" w:sz="4" w:space="0" w:color="auto"/>
            </w:tcBorders>
            <w:shd w:val="clear" w:color="000000" w:fill="D9D9D9"/>
            <w:vAlign w:val="bottom"/>
            <w:hideMark/>
          </w:tcPr>
          <w:p w:rsidR="00E2507D" w:rsidRPr="00FB578A" w:rsidP="00E2507D">
            <w:pPr>
              <w:spacing w:after="0"/>
              <w:jc w:val="center"/>
              <w:rPr>
                <w:rFonts w:eastAsia="Times New Roman" w:cs="Arial"/>
                <w:b/>
                <w:bCs/>
                <w:lang w:eastAsia="en-GB"/>
              </w:rPr>
            </w:pPr>
            <w:r w:rsidRPr="00FB578A">
              <w:rPr>
                <w:rFonts w:eastAsia="Times New Roman" w:cs="Arial"/>
                <w:b/>
                <w:bCs/>
                <w:lang w:eastAsia="en-GB"/>
              </w:rPr>
              <w:t> </w:t>
            </w:r>
          </w:p>
        </w:tc>
        <w:tc>
          <w:tcPr>
            <w:tcW w:w="1337" w:type="dxa"/>
            <w:tcBorders>
              <w:top w:val="nil"/>
              <w:left w:val="nil"/>
              <w:bottom w:val="single" w:sz="4" w:space="0" w:color="auto"/>
              <w:right w:val="single" w:sz="4" w:space="0" w:color="auto"/>
            </w:tcBorders>
            <w:shd w:val="clear" w:color="000000" w:fill="D9D9D9"/>
            <w:vAlign w:val="bottom"/>
            <w:hideMark/>
          </w:tcPr>
          <w:p w:rsidR="00E2507D" w:rsidRPr="00FB578A" w:rsidP="00E2507D">
            <w:pPr>
              <w:spacing w:after="0"/>
              <w:jc w:val="center"/>
              <w:rPr>
                <w:rFonts w:eastAsia="Times New Roman" w:cs="Arial"/>
                <w:b/>
                <w:bCs/>
                <w:lang w:eastAsia="en-GB"/>
              </w:rPr>
            </w:pPr>
            <w:r w:rsidRPr="00FB578A">
              <w:rPr>
                <w:rFonts w:eastAsia="Times New Roman" w:cs="Arial"/>
                <w:b/>
                <w:bCs/>
                <w:lang w:eastAsia="en-GB"/>
              </w:rPr>
              <w:t xml:space="preserve"> £m </w:t>
            </w:r>
          </w:p>
        </w:tc>
        <w:tc>
          <w:tcPr>
            <w:tcW w:w="1096" w:type="dxa"/>
            <w:tcBorders>
              <w:top w:val="nil"/>
              <w:left w:val="nil"/>
              <w:bottom w:val="single" w:sz="4" w:space="0" w:color="auto"/>
              <w:right w:val="single" w:sz="4" w:space="0" w:color="auto"/>
            </w:tcBorders>
            <w:shd w:val="clear" w:color="000000" w:fill="D9D9D9"/>
            <w:vAlign w:val="bottom"/>
            <w:hideMark/>
          </w:tcPr>
          <w:p w:rsidR="00E2507D" w:rsidRPr="00FB578A" w:rsidP="00E2507D">
            <w:pPr>
              <w:spacing w:after="0"/>
              <w:jc w:val="center"/>
              <w:rPr>
                <w:rFonts w:eastAsia="Times New Roman" w:cs="Arial"/>
                <w:b/>
                <w:bCs/>
                <w:lang w:eastAsia="en-GB"/>
              </w:rPr>
            </w:pPr>
            <w:r w:rsidRPr="00FB578A">
              <w:rPr>
                <w:rFonts w:eastAsia="Times New Roman" w:cs="Arial"/>
                <w:b/>
                <w:bCs/>
                <w:lang w:eastAsia="en-GB"/>
              </w:rPr>
              <w:t xml:space="preserve"> £m </w:t>
            </w:r>
          </w:p>
        </w:tc>
        <w:tc>
          <w:tcPr>
            <w:tcW w:w="1217" w:type="dxa"/>
            <w:tcBorders>
              <w:top w:val="nil"/>
              <w:left w:val="nil"/>
              <w:bottom w:val="single" w:sz="4" w:space="0" w:color="auto"/>
              <w:right w:val="single" w:sz="4" w:space="0" w:color="auto"/>
            </w:tcBorders>
            <w:shd w:val="clear" w:color="000000" w:fill="D9D9D9"/>
            <w:vAlign w:val="bottom"/>
            <w:hideMark/>
          </w:tcPr>
          <w:p w:rsidR="00E2507D" w:rsidRPr="00FB578A" w:rsidP="00E2507D">
            <w:pPr>
              <w:spacing w:after="0"/>
              <w:jc w:val="center"/>
              <w:rPr>
                <w:rFonts w:eastAsia="Times New Roman" w:cs="Arial"/>
                <w:b/>
                <w:bCs/>
                <w:lang w:eastAsia="en-GB"/>
              </w:rPr>
            </w:pPr>
            <w:r w:rsidRPr="00FB578A">
              <w:rPr>
                <w:rFonts w:eastAsia="Times New Roman" w:cs="Arial"/>
                <w:b/>
                <w:bCs/>
                <w:lang w:eastAsia="en-GB"/>
              </w:rPr>
              <w:t xml:space="preserve"> £m </w:t>
            </w:r>
          </w:p>
        </w:tc>
        <w:tc>
          <w:tcPr>
            <w:tcW w:w="1217" w:type="dxa"/>
            <w:tcBorders>
              <w:top w:val="nil"/>
              <w:left w:val="nil"/>
              <w:bottom w:val="single" w:sz="4" w:space="0" w:color="auto"/>
              <w:right w:val="single" w:sz="4" w:space="0" w:color="auto"/>
            </w:tcBorders>
            <w:shd w:val="clear" w:color="000000" w:fill="D9D9D9"/>
            <w:vAlign w:val="bottom"/>
          </w:tcPr>
          <w:p w:rsidR="00E2507D" w:rsidRPr="00FB578A" w:rsidP="00E2507D">
            <w:pPr>
              <w:spacing w:after="0"/>
              <w:jc w:val="center"/>
              <w:rPr>
                <w:rFonts w:eastAsia="Times New Roman" w:cs="Arial"/>
                <w:b/>
                <w:bCs/>
                <w:lang w:eastAsia="en-GB"/>
              </w:rPr>
            </w:pPr>
            <w:r w:rsidRPr="00FB578A">
              <w:rPr>
                <w:rFonts w:eastAsia="Times New Roman" w:cs="Arial"/>
                <w:b/>
                <w:bCs/>
                <w:lang w:eastAsia="en-GB"/>
              </w:rPr>
              <w:t>%</w:t>
            </w:r>
          </w:p>
        </w:tc>
        <w:tc>
          <w:tcPr>
            <w:tcW w:w="1217" w:type="dxa"/>
            <w:tcBorders>
              <w:top w:val="nil"/>
              <w:left w:val="single" w:sz="4" w:space="0" w:color="auto"/>
              <w:bottom w:val="single" w:sz="4" w:space="0" w:color="auto"/>
              <w:right w:val="single" w:sz="4" w:space="0" w:color="auto"/>
            </w:tcBorders>
            <w:shd w:val="clear" w:color="000000" w:fill="D9D9D9"/>
            <w:vAlign w:val="bottom"/>
            <w:hideMark/>
          </w:tcPr>
          <w:p w:rsidR="00E2507D" w:rsidRPr="00FB578A" w:rsidP="00E2507D">
            <w:pPr>
              <w:spacing w:after="0"/>
              <w:jc w:val="center"/>
              <w:rPr>
                <w:rFonts w:eastAsia="Times New Roman" w:cs="Arial"/>
                <w:b/>
                <w:bCs/>
                <w:lang w:eastAsia="en-GB"/>
              </w:rPr>
            </w:pPr>
            <w:r w:rsidRPr="00FB578A">
              <w:rPr>
                <w:rFonts w:eastAsia="Times New Roman" w:cs="Arial"/>
                <w:b/>
                <w:bCs/>
                <w:lang w:eastAsia="en-GB"/>
              </w:rPr>
              <w:t xml:space="preserve"> £m </w:t>
            </w:r>
          </w:p>
        </w:tc>
      </w:tr>
      <w:tr w:rsidTr="00E2507D">
        <w:tblPrEx>
          <w:tblW w:w="9001" w:type="dxa"/>
          <w:tblLook w:val="04A0"/>
        </w:tblPrEx>
        <w:trPr>
          <w:trHeight w:val="692"/>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E2507D" w:rsidRPr="00FB578A" w:rsidP="00E2507D">
            <w:pPr>
              <w:spacing w:after="0"/>
              <w:jc w:val="center"/>
              <w:rPr>
                <w:rFonts w:eastAsia="Times New Roman" w:cs="Arial"/>
                <w:b/>
                <w:bCs/>
                <w:lang w:eastAsia="en-GB"/>
              </w:rPr>
            </w:pPr>
            <w:r w:rsidRPr="00FB578A">
              <w:rPr>
                <w:rFonts w:eastAsia="Times New Roman" w:cs="Arial"/>
                <w:b/>
                <w:bCs/>
                <w:lang w:eastAsia="en-GB"/>
              </w:rPr>
              <w:t>3.3.1</w:t>
            </w:r>
          </w:p>
        </w:tc>
        <w:tc>
          <w:tcPr>
            <w:tcW w:w="2167" w:type="dxa"/>
            <w:tcBorders>
              <w:top w:val="nil"/>
              <w:left w:val="nil"/>
              <w:bottom w:val="single" w:sz="4" w:space="0" w:color="auto"/>
              <w:right w:val="single" w:sz="4" w:space="0" w:color="auto"/>
            </w:tcBorders>
            <w:shd w:val="clear" w:color="auto" w:fill="auto"/>
            <w:vAlign w:val="center"/>
            <w:hideMark/>
          </w:tcPr>
          <w:p w:rsidR="00E2507D" w:rsidRPr="00FB578A" w:rsidP="00E2507D">
            <w:pPr>
              <w:spacing w:after="0"/>
              <w:rPr>
                <w:rFonts w:eastAsia="Times New Roman" w:cs="Arial"/>
                <w:lang w:eastAsia="en-GB"/>
              </w:rPr>
            </w:pPr>
            <w:r w:rsidRPr="00FB578A">
              <w:rPr>
                <w:rFonts w:eastAsia="Times New Roman" w:cs="Arial"/>
                <w:lang w:eastAsia="en-GB"/>
              </w:rPr>
              <w:t>Policy, Information and Commissioning Age Well</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2507D" w:rsidRPr="00FB578A" w:rsidP="00E2507D">
            <w:pPr>
              <w:spacing w:after="0"/>
              <w:jc w:val="right"/>
              <w:rPr>
                <w:rFonts w:eastAsia="Times New Roman" w:cs="Arial"/>
                <w:highlight w:val="yellow"/>
                <w:lang w:eastAsia="en-GB"/>
              </w:rPr>
            </w:pPr>
            <w:r w:rsidRPr="00FB578A">
              <w:rPr>
                <w:rFonts w:eastAsia="Times New Roman" w:cs="Arial"/>
                <w:lang w:eastAsia="en-GB"/>
              </w:rPr>
              <w:t>0.730</w:t>
            </w:r>
          </w:p>
        </w:tc>
        <w:tc>
          <w:tcPr>
            <w:tcW w:w="1096" w:type="dxa"/>
            <w:tcBorders>
              <w:top w:val="single" w:sz="4" w:space="0" w:color="auto"/>
              <w:left w:val="nil"/>
              <w:bottom w:val="single" w:sz="4" w:space="0" w:color="auto"/>
              <w:right w:val="single" w:sz="4" w:space="0" w:color="auto"/>
            </w:tcBorders>
            <w:shd w:val="clear" w:color="auto" w:fill="auto"/>
            <w:vAlign w:val="center"/>
          </w:tcPr>
          <w:p w:rsidR="00E2507D" w:rsidRPr="00FB578A" w:rsidP="00E2507D">
            <w:pPr>
              <w:spacing w:after="0"/>
              <w:jc w:val="right"/>
              <w:rPr>
                <w:rFonts w:eastAsia="Times New Roman" w:cs="Arial"/>
                <w:lang w:eastAsia="en-GB"/>
              </w:rPr>
            </w:pPr>
            <w:r w:rsidRPr="00FB578A">
              <w:rPr>
                <w:rFonts w:cs="Arial"/>
              </w:rPr>
              <w:t>0.722</w:t>
            </w:r>
          </w:p>
        </w:tc>
        <w:tc>
          <w:tcPr>
            <w:tcW w:w="1217" w:type="dxa"/>
            <w:tcBorders>
              <w:top w:val="single" w:sz="4" w:space="0" w:color="auto"/>
              <w:left w:val="nil"/>
              <w:bottom w:val="single" w:sz="4" w:space="0" w:color="auto"/>
              <w:right w:val="single" w:sz="4" w:space="0" w:color="auto"/>
            </w:tcBorders>
            <w:shd w:val="clear" w:color="000000" w:fill="D9D9D9"/>
            <w:vAlign w:val="center"/>
          </w:tcPr>
          <w:p w:rsidR="00E2507D" w:rsidRPr="00FB578A" w:rsidP="00E2507D">
            <w:pPr>
              <w:spacing w:after="0"/>
              <w:jc w:val="right"/>
              <w:rPr>
                <w:rFonts w:eastAsia="Times New Roman" w:cs="Arial"/>
                <w:lang w:eastAsia="en-GB"/>
              </w:rPr>
            </w:pPr>
            <w:r w:rsidRPr="00FB578A">
              <w:rPr>
                <w:rFonts w:cs="Arial"/>
              </w:rPr>
              <w:t>-0.008</w:t>
            </w:r>
          </w:p>
        </w:tc>
        <w:tc>
          <w:tcPr>
            <w:tcW w:w="1217" w:type="dxa"/>
            <w:tcBorders>
              <w:top w:val="single" w:sz="4" w:space="0" w:color="auto"/>
              <w:left w:val="single" w:sz="4" w:space="0" w:color="auto"/>
              <w:bottom w:val="single" w:sz="4" w:space="0" w:color="auto"/>
              <w:right w:val="single" w:sz="4" w:space="0" w:color="auto"/>
            </w:tcBorders>
            <w:vAlign w:val="center"/>
          </w:tcPr>
          <w:p w:rsidR="00E2507D" w:rsidRPr="00FB578A" w:rsidP="00E2507D">
            <w:pPr>
              <w:spacing w:after="0"/>
              <w:jc w:val="right"/>
              <w:rPr>
                <w:rFonts w:cs="Arial"/>
              </w:rPr>
            </w:pPr>
            <w:r w:rsidRPr="00FB578A">
              <w:rPr>
                <w:rFonts w:cs="Arial"/>
              </w:rPr>
              <w:t>-1.10%</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E2507D" w:rsidRPr="00FB578A" w:rsidP="00E2507D">
            <w:pPr>
              <w:spacing w:after="0"/>
              <w:jc w:val="right"/>
              <w:rPr>
                <w:rFonts w:eastAsia="Times New Roman" w:cs="Arial"/>
                <w:lang w:eastAsia="en-GB"/>
              </w:rPr>
            </w:pPr>
            <w:r w:rsidRPr="00FB578A">
              <w:rPr>
                <w:rFonts w:cs="Arial"/>
              </w:rPr>
              <w:t>-0.002</w:t>
            </w:r>
          </w:p>
        </w:tc>
      </w:tr>
      <w:tr w:rsidTr="00E2507D">
        <w:tblPrEx>
          <w:tblW w:w="9001" w:type="dxa"/>
          <w:tblLook w:val="04A0"/>
        </w:tblPrEx>
        <w:trPr>
          <w:trHeight w:val="692"/>
        </w:trPr>
        <w:tc>
          <w:tcPr>
            <w:tcW w:w="750" w:type="dxa"/>
            <w:tcBorders>
              <w:top w:val="nil"/>
              <w:left w:val="single" w:sz="4" w:space="0" w:color="auto"/>
              <w:bottom w:val="single" w:sz="4" w:space="0" w:color="auto"/>
              <w:right w:val="single" w:sz="4" w:space="0" w:color="auto"/>
            </w:tcBorders>
            <w:shd w:val="clear" w:color="auto" w:fill="auto"/>
            <w:vAlign w:val="center"/>
            <w:hideMark/>
          </w:tcPr>
          <w:p w:rsidR="00E2507D" w:rsidRPr="00FB578A" w:rsidP="00E2507D">
            <w:pPr>
              <w:spacing w:after="0"/>
              <w:jc w:val="center"/>
              <w:rPr>
                <w:rFonts w:eastAsia="Times New Roman" w:cs="Arial"/>
                <w:b/>
                <w:bCs/>
                <w:lang w:eastAsia="en-GB"/>
              </w:rPr>
            </w:pPr>
            <w:r w:rsidRPr="00FB578A">
              <w:rPr>
                <w:rFonts w:eastAsia="Times New Roman" w:cs="Arial"/>
                <w:b/>
                <w:bCs/>
                <w:lang w:eastAsia="en-GB"/>
              </w:rPr>
              <w:t>3.3.2</w:t>
            </w:r>
          </w:p>
        </w:tc>
        <w:tc>
          <w:tcPr>
            <w:tcW w:w="2167" w:type="dxa"/>
            <w:tcBorders>
              <w:top w:val="nil"/>
              <w:left w:val="nil"/>
              <w:bottom w:val="single" w:sz="4" w:space="0" w:color="auto"/>
              <w:right w:val="single" w:sz="4" w:space="0" w:color="auto"/>
            </w:tcBorders>
            <w:shd w:val="clear" w:color="auto" w:fill="auto"/>
            <w:vAlign w:val="center"/>
            <w:hideMark/>
          </w:tcPr>
          <w:p w:rsidR="00E2507D" w:rsidRPr="00FB578A" w:rsidP="00E2507D">
            <w:pPr>
              <w:spacing w:after="0"/>
              <w:rPr>
                <w:rFonts w:eastAsia="Times New Roman" w:cs="Arial"/>
                <w:lang w:eastAsia="en-GB"/>
              </w:rPr>
            </w:pPr>
            <w:r w:rsidRPr="00FB578A">
              <w:rPr>
                <w:rFonts w:eastAsia="Times New Roman" w:cs="Arial"/>
                <w:lang w:eastAsia="en-GB"/>
              </w:rPr>
              <w:t>Policy, Information and Commissioning Live Well</w:t>
            </w:r>
          </w:p>
        </w:tc>
        <w:tc>
          <w:tcPr>
            <w:tcW w:w="1337" w:type="dxa"/>
            <w:tcBorders>
              <w:top w:val="nil"/>
              <w:left w:val="single" w:sz="4" w:space="0" w:color="auto"/>
              <w:bottom w:val="single" w:sz="4" w:space="0" w:color="auto"/>
              <w:right w:val="single" w:sz="4" w:space="0" w:color="auto"/>
            </w:tcBorders>
            <w:shd w:val="clear" w:color="auto" w:fill="auto"/>
            <w:vAlign w:val="center"/>
          </w:tcPr>
          <w:p w:rsidR="00E2507D" w:rsidRPr="00FB578A" w:rsidP="00E2507D">
            <w:pPr>
              <w:spacing w:after="0"/>
              <w:jc w:val="right"/>
              <w:rPr>
                <w:rFonts w:eastAsia="Times New Roman" w:cs="Arial"/>
                <w:highlight w:val="yellow"/>
                <w:lang w:eastAsia="en-GB"/>
              </w:rPr>
            </w:pPr>
            <w:r w:rsidRPr="00FB578A">
              <w:rPr>
                <w:rFonts w:eastAsia="Times New Roman" w:cs="Arial"/>
                <w:lang w:eastAsia="en-GB"/>
              </w:rPr>
              <w:t>0.656</w:t>
            </w:r>
          </w:p>
        </w:tc>
        <w:tc>
          <w:tcPr>
            <w:tcW w:w="1096" w:type="dxa"/>
            <w:tcBorders>
              <w:top w:val="nil"/>
              <w:left w:val="nil"/>
              <w:bottom w:val="single" w:sz="4" w:space="0" w:color="auto"/>
              <w:right w:val="single" w:sz="4" w:space="0" w:color="auto"/>
            </w:tcBorders>
            <w:shd w:val="clear" w:color="auto" w:fill="auto"/>
            <w:vAlign w:val="center"/>
          </w:tcPr>
          <w:p w:rsidR="00E2507D" w:rsidRPr="00FB578A" w:rsidP="00E2507D">
            <w:pPr>
              <w:spacing w:after="0"/>
              <w:jc w:val="right"/>
              <w:rPr>
                <w:rFonts w:eastAsia="Times New Roman" w:cs="Arial"/>
                <w:lang w:eastAsia="en-GB"/>
              </w:rPr>
            </w:pPr>
            <w:r w:rsidRPr="00FB578A">
              <w:rPr>
                <w:rFonts w:cs="Arial"/>
              </w:rPr>
              <w:t>0.599</w:t>
            </w:r>
          </w:p>
        </w:tc>
        <w:tc>
          <w:tcPr>
            <w:tcW w:w="1217" w:type="dxa"/>
            <w:tcBorders>
              <w:top w:val="nil"/>
              <w:left w:val="nil"/>
              <w:bottom w:val="single" w:sz="4" w:space="0" w:color="auto"/>
              <w:right w:val="single" w:sz="4" w:space="0" w:color="auto"/>
            </w:tcBorders>
            <w:shd w:val="clear" w:color="000000" w:fill="D9D9D9"/>
            <w:vAlign w:val="center"/>
          </w:tcPr>
          <w:p w:rsidR="00E2507D" w:rsidRPr="00FB578A" w:rsidP="00E2507D">
            <w:pPr>
              <w:spacing w:after="0"/>
              <w:jc w:val="right"/>
              <w:rPr>
                <w:rFonts w:eastAsia="Times New Roman" w:cs="Arial"/>
                <w:lang w:eastAsia="en-GB"/>
              </w:rPr>
            </w:pPr>
            <w:r w:rsidRPr="00FB578A">
              <w:rPr>
                <w:rFonts w:cs="Arial"/>
              </w:rPr>
              <w:t>-0.057</w:t>
            </w:r>
          </w:p>
        </w:tc>
        <w:tc>
          <w:tcPr>
            <w:tcW w:w="1217" w:type="dxa"/>
            <w:tcBorders>
              <w:top w:val="nil"/>
              <w:left w:val="single" w:sz="4" w:space="0" w:color="auto"/>
              <w:bottom w:val="single" w:sz="4" w:space="0" w:color="auto"/>
              <w:right w:val="single" w:sz="4" w:space="0" w:color="auto"/>
            </w:tcBorders>
            <w:vAlign w:val="center"/>
          </w:tcPr>
          <w:p w:rsidR="00E2507D" w:rsidRPr="00FB578A" w:rsidP="00E2507D">
            <w:pPr>
              <w:spacing w:after="0"/>
              <w:jc w:val="right"/>
              <w:rPr>
                <w:rFonts w:cs="Arial"/>
              </w:rPr>
            </w:pPr>
            <w:r w:rsidRPr="00FB578A">
              <w:rPr>
                <w:rFonts w:cs="Arial"/>
              </w:rPr>
              <w:t>-8.69%</w:t>
            </w:r>
          </w:p>
        </w:tc>
        <w:tc>
          <w:tcPr>
            <w:tcW w:w="1217" w:type="dxa"/>
            <w:tcBorders>
              <w:top w:val="nil"/>
              <w:left w:val="single" w:sz="4" w:space="0" w:color="auto"/>
              <w:bottom w:val="single" w:sz="4" w:space="0" w:color="auto"/>
              <w:right w:val="single" w:sz="4" w:space="0" w:color="auto"/>
            </w:tcBorders>
            <w:shd w:val="clear" w:color="auto" w:fill="auto"/>
            <w:vAlign w:val="center"/>
          </w:tcPr>
          <w:p w:rsidR="00E2507D" w:rsidRPr="00FB578A" w:rsidP="00E2507D">
            <w:pPr>
              <w:spacing w:after="0"/>
              <w:jc w:val="right"/>
              <w:rPr>
                <w:rFonts w:eastAsia="Times New Roman" w:cs="Arial"/>
                <w:lang w:eastAsia="en-GB"/>
              </w:rPr>
            </w:pPr>
            <w:r w:rsidRPr="00FB578A">
              <w:rPr>
                <w:rFonts w:cs="Arial"/>
              </w:rPr>
              <w:t>-0.051</w:t>
            </w:r>
          </w:p>
        </w:tc>
      </w:tr>
      <w:tr w:rsidTr="00E2507D">
        <w:tblPrEx>
          <w:tblW w:w="9001" w:type="dxa"/>
          <w:tblLook w:val="04A0"/>
        </w:tblPrEx>
        <w:trPr>
          <w:trHeight w:val="692"/>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E2507D" w:rsidRPr="00FB578A" w:rsidP="00E2507D">
            <w:pPr>
              <w:spacing w:after="0"/>
              <w:jc w:val="center"/>
              <w:rPr>
                <w:rFonts w:eastAsia="Times New Roman" w:cs="Arial"/>
                <w:b/>
                <w:bCs/>
                <w:lang w:eastAsia="en-GB"/>
              </w:rPr>
            </w:pPr>
            <w:r w:rsidRPr="00FB578A">
              <w:rPr>
                <w:rFonts w:eastAsia="Times New Roman" w:cs="Arial"/>
                <w:b/>
                <w:bCs/>
                <w:lang w:eastAsia="en-GB"/>
              </w:rPr>
              <w:t>3.3.3</w:t>
            </w:r>
          </w:p>
        </w:tc>
        <w:tc>
          <w:tcPr>
            <w:tcW w:w="2167" w:type="dxa"/>
            <w:tcBorders>
              <w:top w:val="nil"/>
              <w:left w:val="nil"/>
              <w:bottom w:val="single" w:sz="4" w:space="0" w:color="auto"/>
              <w:right w:val="single" w:sz="4" w:space="0" w:color="auto"/>
            </w:tcBorders>
            <w:shd w:val="clear" w:color="000000" w:fill="FFFFFF"/>
            <w:vAlign w:val="center"/>
            <w:hideMark/>
          </w:tcPr>
          <w:p w:rsidR="00E2507D" w:rsidRPr="00FB578A" w:rsidP="00E2507D">
            <w:pPr>
              <w:spacing w:after="0"/>
              <w:rPr>
                <w:rFonts w:eastAsia="Times New Roman" w:cs="Arial"/>
                <w:lang w:eastAsia="en-GB"/>
              </w:rPr>
            </w:pPr>
            <w:r w:rsidRPr="00FB578A">
              <w:rPr>
                <w:rFonts w:eastAsia="Times New Roman" w:cs="Arial"/>
                <w:lang w:eastAsia="en-GB"/>
              </w:rPr>
              <w:t>Patient Safety and Quality Improvement</w:t>
            </w:r>
          </w:p>
        </w:tc>
        <w:tc>
          <w:tcPr>
            <w:tcW w:w="1337" w:type="dxa"/>
            <w:tcBorders>
              <w:top w:val="nil"/>
              <w:left w:val="single" w:sz="4" w:space="0" w:color="auto"/>
              <w:bottom w:val="single" w:sz="4" w:space="0" w:color="auto"/>
              <w:right w:val="single" w:sz="4" w:space="0" w:color="auto"/>
            </w:tcBorders>
            <w:shd w:val="clear" w:color="auto" w:fill="auto"/>
            <w:vAlign w:val="center"/>
          </w:tcPr>
          <w:p w:rsidR="00E2507D" w:rsidRPr="00FB578A" w:rsidP="00E2507D">
            <w:pPr>
              <w:spacing w:after="0"/>
              <w:jc w:val="right"/>
              <w:rPr>
                <w:rFonts w:eastAsia="Times New Roman" w:cs="Arial"/>
                <w:highlight w:val="yellow"/>
                <w:lang w:eastAsia="en-GB"/>
              </w:rPr>
            </w:pPr>
            <w:r w:rsidRPr="00FB578A">
              <w:rPr>
                <w:rFonts w:eastAsia="Times New Roman" w:cs="Arial"/>
                <w:lang w:eastAsia="en-GB"/>
              </w:rPr>
              <w:t>6.030</w:t>
            </w:r>
          </w:p>
        </w:tc>
        <w:tc>
          <w:tcPr>
            <w:tcW w:w="1096" w:type="dxa"/>
            <w:tcBorders>
              <w:top w:val="nil"/>
              <w:left w:val="nil"/>
              <w:bottom w:val="single" w:sz="4" w:space="0" w:color="auto"/>
              <w:right w:val="single" w:sz="4" w:space="0" w:color="auto"/>
            </w:tcBorders>
            <w:shd w:val="clear" w:color="auto" w:fill="auto"/>
            <w:vAlign w:val="center"/>
          </w:tcPr>
          <w:p w:rsidR="00E2507D" w:rsidRPr="00FB578A" w:rsidP="00E2507D">
            <w:pPr>
              <w:spacing w:after="0"/>
              <w:jc w:val="right"/>
              <w:rPr>
                <w:rFonts w:eastAsia="Times New Roman" w:cs="Arial"/>
                <w:lang w:eastAsia="en-GB"/>
              </w:rPr>
            </w:pPr>
            <w:r w:rsidRPr="00FB578A">
              <w:rPr>
                <w:rFonts w:cs="Arial"/>
              </w:rPr>
              <w:t>5.887</w:t>
            </w:r>
          </w:p>
        </w:tc>
        <w:tc>
          <w:tcPr>
            <w:tcW w:w="1217" w:type="dxa"/>
            <w:tcBorders>
              <w:top w:val="nil"/>
              <w:left w:val="nil"/>
              <w:bottom w:val="single" w:sz="4" w:space="0" w:color="auto"/>
              <w:right w:val="single" w:sz="4" w:space="0" w:color="auto"/>
            </w:tcBorders>
            <w:shd w:val="clear" w:color="000000" w:fill="D9D9D9"/>
            <w:vAlign w:val="center"/>
          </w:tcPr>
          <w:p w:rsidR="00E2507D" w:rsidRPr="00FB578A" w:rsidP="00E2507D">
            <w:pPr>
              <w:spacing w:after="0"/>
              <w:jc w:val="right"/>
              <w:rPr>
                <w:rFonts w:eastAsia="Times New Roman" w:cs="Arial"/>
                <w:lang w:eastAsia="en-GB"/>
              </w:rPr>
            </w:pPr>
            <w:r w:rsidRPr="00FB578A">
              <w:rPr>
                <w:rFonts w:cs="Arial"/>
              </w:rPr>
              <w:t>-0.143</w:t>
            </w:r>
          </w:p>
        </w:tc>
        <w:tc>
          <w:tcPr>
            <w:tcW w:w="1217" w:type="dxa"/>
            <w:tcBorders>
              <w:top w:val="nil"/>
              <w:left w:val="single" w:sz="4" w:space="0" w:color="auto"/>
              <w:bottom w:val="single" w:sz="4" w:space="0" w:color="auto"/>
              <w:right w:val="single" w:sz="4" w:space="0" w:color="auto"/>
            </w:tcBorders>
            <w:vAlign w:val="center"/>
          </w:tcPr>
          <w:p w:rsidR="00E2507D" w:rsidRPr="00FB578A" w:rsidP="00E2507D">
            <w:pPr>
              <w:spacing w:after="0"/>
              <w:jc w:val="right"/>
              <w:rPr>
                <w:rFonts w:cs="Arial"/>
              </w:rPr>
            </w:pPr>
            <w:r w:rsidRPr="00FB578A">
              <w:rPr>
                <w:rFonts w:cs="Arial"/>
              </w:rPr>
              <w:t>-2.37%</w:t>
            </w:r>
          </w:p>
        </w:tc>
        <w:tc>
          <w:tcPr>
            <w:tcW w:w="1217" w:type="dxa"/>
            <w:tcBorders>
              <w:top w:val="nil"/>
              <w:left w:val="single" w:sz="4" w:space="0" w:color="auto"/>
              <w:bottom w:val="single" w:sz="4" w:space="0" w:color="auto"/>
              <w:right w:val="single" w:sz="4" w:space="0" w:color="auto"/>
            </w:tcBorders>
            <w:shd w:val="clear" w:color="auto" w:fill="auto"/>
            <w:vAlign w:val="center"/>
          </w:tcPr>
          <w:p w:rsidR="00E2507D" w:rsidRPr="00FB578A" w:rsidP="00E2507D">
            <w:pPr>
              <w:spacing w:after="0"/>
              <w:jc w:val="right"/>
              <w:rPr>
                <w:rFonts w:eastAsia="Times New Roman" w:cs="Arial"/>
                <w:lang w:eastAsia="en-GB"/>
              </w:rPr>
            </w:pPr>
            <w:r w:rsidRPr="00FB578A">
              <w:rPr>
                <w:rFonts w:cs="Arial"/>
              </w:rPr>
              <w:t>-0.036</w:t>
            </w:r>
          </w:p>
        </w:tc>
      </w:tr>
      <w:tr w:rsidTr="00E2507D">
        <w:tblPrEx>
          <w:tblW w:w="9001" w:type="dxa"/>
          <w:tblLook w:val="04A0"/>
        </w:tblPrEx>
        <w:trPr>
          <w:trHeight w:val="725"/>
        </w:trPr>
        <w:tc>
          <w:tcPr>
            <w:tcW w:w="750" w:type="dxa"/>
            <w:tcBorders>
              <w:top w:val="nil"/>
              <w:left w:val="single" w:sz="4" w:space="0" w:color="auto"/>
              <w:bottom w:val="single" w:sz="4" w:space="0" w:color="auto"/>
              <w:right w:val="single" w:sz="4" w:space="0" w:color="auto"/>
            </w:tcBorders>
            <w:shd w:val="clear" w:color="000000" w:fill="D9D9D9"/>
            <w:vAlign w:val="center"/>
            <w:hideMark/>
          </w:tcPr>
          <w:p w:rsidR="00E2507D" w:rsidRPr="00FB578A" w:rsidP="00E2507D">
            <w:pPr>
              <w:spacing w:after="0"/>
              <w:jc w:val="center"/>
              <w:rPr>
                <w:rFonts w:eastAsia="Times New Roman" w:cs="Arial"/>
                <w:b/>
                <w:bCs/>
                <w:lang w:eastAsia="en-GB"/>
              </w:rPr>
            </w:pPr>
            <w:r w:rsidRPr="00FB578A">
              <w:rPr>
                <w:rFonts w:eastAsia="Times New Roman" w:cs="Arial"/>
                <w:b/>
                <w:bCs/>
                <w:lang w:eastAsia="en-GB"/>
              </w:rPr>
              <w:t> </w:t>
            </w:r>
          </w:p>
        </w:tc>
        <w:tc>
          <w:tcPr>
            <w:tcW w:w="2167" w:type="dxa"/>
            <w:tcBorders>
              <w:top w:val="nil"/>
              <w:left w:val="nil"/>
              <w:bottom w:val="single" w:sz="4" w:space="0" w:color="auto"/>
              <w:right w:val="single" w:sz="4" w:space="0" w:color="auto"/>
            </w:tcBorders>
            <w:shd w:val="clear" w:color="000000" w:fill="D9D9D9"/>
            <w:vAlign w:val="center"/>
            <w:hideMark/>
          </w:tcPr>
          <w:p w:rsidR="00E2507D" w:rsidRPr="00FB578A" w:rsidP="00E2507D">
            <w:pPr>
              <w:spacing w:after="0"/>
              <w:rPr>
                <w:rFonts w:eastAsia="Times New Roman" w:cs="Arial"/>
                <w:b/>
                <w:bCs/>
                <w:lang w:eastAsia="en-GB"/>
              </w:rPr>
            </w:pPr>
            <w:r w:rsidRPr="00FB578A">
              <w:rPr>
                <w:rFonts w:eastAsia="Times New Roman" w:cs="Arial"/>
                <w:b/>
                <w:bCs/>
                <w:lang w:eastAsia="en-GB"/>
              </w:rPr>
              <w:t xml:space="preserve">Total - Policy, Information, Commissioning and Safeguarding </w:t>
            </w:r>
          </w:p>
        </w:tc>
        <w:tc>
          <w:tcPr>
            <w:tcW w:w="1337" w:type="dxa"/>
            <w:tcBorders>
              <w:top w:val="nil"/>
              <w:left w:val="single" w:sz="4" w:space="0" w:color="auto"/>
              <w:bottom w:val="single" w:sz="4" w:space="0" w:color="auto"/>
              <w:right w:val="single" w:sz="4" w:space="0" w:color="auto"/>
            </w:tcBorders>
            <w:shd w:val="clear" w:color="000000" w:fill="D9D9D9"/>
            <w:vAlign w:val="center"/>
          </w:tcPr>
          <w:p w:rsidR="00E2507D" w:rsidRPr="00FB578A" w:rsidP="00E2507D">
            <w:pPr>
              <w:spacing w:after="0"/>
              <w:jc w:val="right"/>
              <w:rPr>
                <w:rFonts w:eastAsia="Times New Roman" w:cs="Arial"/>
                <w:b/>
                <w:bCs/>
                <w:highlight w:val="yellow"/>
                <w:lang w:eastAsia="en-GB"/>
              </w:rPr>
            </w:pPr>
            <w:r w:rsidRPr="00FB578A">
              <w:rPr>
                <w:rFonts w:cs="Arial"/>
                <w:b/>
                <w:bCs/>
              </w:rPr>
              <w:t>7.416</w:t>
            </w:r>
          </w:p>
        </w:tc>
        <w:tc>
          <w:tcPr>
            <w:tcW w:w="1096" w:type="dxa"/>
            <w:tcBorders>
              <w:top w:val="nil"/>
              <w:left w:val="nil"/>
              <w:bottom w:val="single" w:sz="4" w:space="0" w:color="auto"/>
              <w:right w:val="single" w:sz="4" w:space="0" w:color="auto"/>
            </w:tcBorders>
            <w:shd w:val="clear" w:color="000000" w:fill="D9D9D9"/>
            <w:vAlign w:val="center"/>
          </w:tcPr>
          <w:p w:rsidR="00E2507D" w:rsidRPr="00FB578A" w:rsidP="00E2507D">
            <w:pPr>
              <w:spacing w:after="0"/>
              <w:jc w:val="right"/>
              <w:rPr>
                <w:rFonts w:eastAsia="Times New Roman" w:cs="Arial"/>
                <w:b/>
                <w:bCs/>
                <w:lang w:eastAsia="en-GB"/>
              </w:rPr>
            </w:pPr>
            <w:r w:rsidRPr="00FB578A">
              <w:rPr>
                <w:rFonts w:cs="Arial"/>
                <w:b/>
                <w:bCs/>
              </w:rPr>
              <w:t>7.208</w:t>
            </w:r>
          </w:p>
        </w:tc>
        <w:tc>
          <w:tcPr>
            <w:tcW w:w="1217" w:type="dxa"/>
            <w:tcBorders>
              <w:top w:val="nil"/>
              <w:left w:val="nil"/>
              <w:bottom w:val="single" w:sz="4" w:space="0" w:color="auto"/>
              <w:right w:val="single" w:sz="4" w:space="0" w:color="auto"/>
            </w:tcBorders>
            <w:shd w:val="clear" w:color="000000" w:fill="D9D9D9"/>
            <w:vAlign w:val="center"/>
          </w:tcPr>
          <w:p w:rsidR="00E2507D" w:rsidRPr="00FB578A" w:rsidP="00E2507D">
            <w:pPr>
              <w:spacing w:after="0"/>
              <w:jc w:val="right"/>
              <w:rPr>
                <w:rFonts w:eastAsia="Times New Roman" w:cs="Arial"/>
                <w:b/>
                <w:bCs/>
                <w:lang w:eastAsia="en-GB"/>
              </w:rPr>
            </w:pPr>
            <w:r w:rsidRPr="00FB578A">
              <w:rPr>
                <w:rFonts w:cs="Arial"/>
                <w:b/>
                <w:bCs/>
              </w:rPr>
              <w:t>-0.208</w:t>
            </w:r>
          </w:p>
        </w:tc>
        <w:tc>
          <w:tcPr>
            <w:tcW w:w="1217" w:type="dxa"/>
            <w:tcBorders>
              <w:top w:val="nil"/>
              <w:left w:val="single" w:sz="4" w:space="0" w:color="auto"/>
              <w:bottom w:val="single" w:sz="4" w:space="0" w:color="auto"/>
              <w:right w:val="single" w:sz="4" w:space="0" w:color="auto"/>
            </w:tcBorders>
            <w:shd w:val="clear" w:color="000000" w:fill="D9D9D9"/>
            <w:vAlign w:val="center"/>
          </w:tcPr>
          <w:p w:rsidR="00E2507D" w:rsidRPr="00FB578A" w:rsidP="00E2507D">
            <w:pPr>
              <w:spacing w:after="0"/>
              <w:jc w:val="right"/>
              <w:rPr>
                <w:rFonts w:cs="Arial"/>
                <w:b/>
                <w:bCs/>
              </w:rPr>
            </w:pPr>
            <w:r w:rsidRPr="00FB578A">
              <w:rPr>
                <w:rFonts w:cs="Arial"/>
                <w:b/>
                <w:bCs/>
              </w:rPr>
              <w:t>-2.80%</w:t>
            </w:r>
          </w:p>
        </w:tc>
        <w:tc>
          <w:tcPr>
            <w:tcW w:w="1217" w:type="dxa"/>
            <w:tcBorders>
              <w:top w:val="nil"/>
              <w:left w:val="single" w:sz="4" w:space="0" w:color="auto"/>
              <w:bottom w:val="single" w:sz="4" w:space="0" w:color="auto"/>
              <w:right w:val="single" w:sz="4" w:space="0" w:color="auto"/>
            </w:tcBorders>
            <w:shd w:val="clear" w:color="000000" w:fill="D9D9D9"/>
            <w:vAlign w:val="center"/>
          </w:tcPr>
          <w:p w:rsidR="00E2507D" w:rsidRPr="00FB578A" w:rsidP="00E2507D">
            <w:pPr>
              <w:spacing w:after="0"/>
              <w:jc w:val="right"/>
              <w:rPr>
                <w:rFonts w:eastAsia="Times New Roman" w:cs="Arial"/>
                <w:b/>
                <w:bCs/>
                <w:lang w:eastAsia="en-GB"/>
              </w:rPr>
            </w:pPr>
            <w:r w:rsidRPr="00FB578A">
              <w:rPr>
                <w:rFonts w:cs="Arial"/>
                <w:b/>
                <w:bCs/>
              </w:rPr>
              <w:t>-0.089</w:t>
            </w:r>
          </w:p>
        </w:tc>
      </w:tr>
    </w:tbl>
    <w:p w:rsidR="00E2507D" w:rsidRPr="00FB578A" w:rsidP="00E2507D">
      <w:pPr>
        <w:spacing w:after="0"/>
        <w:rPr>
          <w:rFonts w:cs="Arial"/>
        </w:rPr>
      </w:pPr>
    </w:p>
    <w:p w:rsidR="00E2507D" w:rsidRPr="00FB578A" w:rsidP="00E2507D">
      <w:pPr>
        <w:spacing w:after="0"/>
        <w:rPr>
          <w:rFonts w:cs="Arial"/>
        </w:rPr>
      </w:pPr>
      <w:r w:rsidRPr="00FB578A">
        <w:rPr>
          <w:rFonts w:cs="Arial"/>
        </w:rPr>
        <w:t>Policy, Information, Commissioning and Safeguarding</w:t>
      </w:r>
      <w:r w:rsidRPr="00FB578A">
        <w:rPr>
          <w:rFonts w:cs="Arial"/>
          <w:color w:val="FF0000"/>
        </w:rPr>
        <w:t xml:space="preserve"> </w:t>
      </w:r>
      <w:r w:rsidRPr="00FB578A">
        <w:rPr>
          <w:rFonts w:cs="Arial"/>
        </w:rPr>
        <w:t xml:space="preserve">has underspent by £208,000 in 2019/20. The forecast has improved by £121,000 compared to Quarter 3 figures. The budgets shown in the table above relate to services working across both adult services and public health and wellbeing. </w:t>
      </w:r>
    </w:p>
    <w:p w:rsidR="00E2507D" w:rsidRPr="00FB578A" w:rsidP="00E2507D">
      <w:pPr>
        <w:spacing w:after="0"/>
        <w:rPr>
          <w:rFonts w:cs="Arial"/>
        </w:rPr>
      </w:pPr>
    </w:p>
    <w:p w:rsidR="00E2507D" w:rsidRPr="00FB578A" w:rsidP="00E2507D">
      <w:pPr>
        <w:spacing w:after="0"/>
        <w:rPr>
          <w:rFonts w:cs="Arial"/>
        </w:rPr>
      </w:pPr>
      <w:r>
        <w:rPr>
          <w:rFonts w:cs="Arial"/>
        </w:rPr>
        <w:t>The und</w:t>
      </w:r>
      <w:r w:rsidRPr="00FB578A">
        <w:rPr>
          <w:rFonts w:cs="Arial"/>
        </w:rPr>
        <w:t xml:space="preserve">erspend position is due predominantly to staffing underspends across the constituent service areas. </w:t>
      </w:r>
    </w:p>
    <w:p w:rsidR="00E2507D" w:rsidRPr="00FB578A" w:rsidP="00E2507D">
      <w:pPr>
        <w:spacing w:after="0"/>
        <w:rPr>
          <w:rFonts w:cs="Arial"/>
          <w:highlight w:val="yellow"/>
        </w:rPr>
      </w:pPr>
    </w:p>
    <w:p w:rsidR="00E2507D" w:rsidRPr="00FB578A" w:rsidP="00E2507D">
      <w:pPr>
        <w:spacing w:after="0"/>
        <w:rPr>
          <w:rFonts w:cs="Arial"/>
          <w:b/>
          <w:highlight w:val="yellow"/>
          <w:u w:val="single"/>
        </w:rPr>
      </w:pPr>
    </w:p>
    <w:p w:rsidR="00E2507D" w:rsidRPr="00FB578A" w:rsidP="00E2507D">
      <w:pPr>
        <w:spacing w:after="0"/>
        <w:rPr>
          <w:rFonts w:cs="Arial"/>
          <w:b/>
          <w:highlight w:val="yellow"/>
          <w:u w:val="single"/>
        </w:rPr>
      </w:pPr>
    </w:p>
    <w:p w:rsidR="00E2507D" w:rsidRPr="00FB578A" w:rsidP="00E2507D">
      <w:pPr>
        <w:spacing w:after="0"/>
        <w:rPr>
          <w:rFonts w:cs="Arial"/>
          <w:b/>
          <w:highlight w:val="yellow"/>
          <w:u w:val="single"/>
        </w:rPr>
      </w:pPr>
    </w:p>
    <w:p w:rsidR="00E2507D" w:rsidRPr="00FB578A" w:rsidP="00E2507D">
      <w:pPr>
        <w:spacing w:after="0"/>
        <w:rPr>
          <w:rFonts w:cs="Arial"/>
          <w:b/>
          <w:highlight w:val="yellow"/>
          <w:u w:val="single"/>
        </w:rPr>
      </w:pPr>
    </w:p>
    <w:p w:rsidR="00E2507D" w:rsidRPr="00FB578A" w:rsidP="00E2507D">
      <w:pPr>
        <w:spacing w:after="0"/>
        <w:rPr>
          <w:rFonts w:cs="Arial"/>
          <w:b/>
          <w:highlight w:val="yellow"/>
          <w:u w:val="single"/>
        </w:rPr>
      </w:pPr>
    </w:p>
    <w:p w:rsidR="00E2507D" w:rsidP="00E2507D"/>
    <w:p w:rsidR="00E2507D" w:rsidRPr="00506BBC" w:rsidP="00E2507D">
      <w:pPr>
        <w:spacing w:after="0"/>
        <w:rPr>
          <w:rFonts w:cs="Arial"/>
          <w:highlight w:val="yellow"/>
        </w:rPr>
      </w:pPr>
    </w:p>
    <w:p w:rsidR="00E2507D" w:rsidRPr="00506BBC" w:rsidP="00E2507D">
      <w:pPr>
        <w:autoSpaceDE/>
        <w:autoSpaceDN/>
        <w:adjustRightInd/>
        <w:spacing w:after="0"/>
        <w:jc w:val="left"/>
        <w:rPr>
          <w:rFonts w:cs="Arial"/>
          <w:b/>
          <w:highlight w:val="yellow"/>
          <w:u w:val="single"/>
        </w:rPr>
      </w:pPr>
    </w:p>
    <w:p w:rsidR="00E2507D" w:rsidRPr="00506BBC" w:rsidP="00E2507D">
      <w:pPr>
        <w:autoSpaceDE/>
        <w:autoSpaceDN/>
        <w:adjustRightInd/>
        <w:spacing w:after="0"/>
        <w:jc w:val="left"/>
        <w:rPr>
          <w:rFonts w:cs="Arial"/>
          <w:b/>
          <w:highlight w:val="yellow"/>
          <w:u w:val="single"/>
        </w:rPr>
      </w:pPr>
    </w:p>
    <w:p w:rsidR="00E2507D" w:rsidRPr="00506BBC" w:rsidP="00E2507D">
      <w:pPr>
        <w:autoSpaceDE/>
        <w:autoSpaceDN/>
        <w:adjustRightInd/>
        <w:spacing w:after="0"/>
        <w:jc w:val="left"/>
        <w:rPr>
          <w:rFonts w:cs="Arial"/>
          <w:b/>
          <w:highlight w:val="yellow"/>
          <w:u w:val="single"/>
        </w:rPr>
      </w:pPr>
    </w:p>
    <w:p w:rsidR="00E2507D" w:rsidRPr="00506BBC" w:rsidP="00E2507D">
      <w:pPr>
        <w:autoSpaceDE/>
        <w:autoSpaceDN/>
        <w:adjustRightInd/>
        <w:spacing w:after="0"/>
        <w:jc w:val="left"/>
        <w:rPr>
          <w:rFonts w:cs="Arial"/>
          <w:b/>
          <w:highlight w:val="yellow"/>
          <w:u w:val="single"/>
        </w:rPr>
      </w:pPr>
    </w:p>
    <w:p w:rsidR="00E2507D" w:rsidRPr="00506BBC" w:rsidP="00E2507D">
      <w:pPr>
        <w:autoSpaceDE/>
        <w:autoSpaceDN/>
        <w:adjustRightInd/>
        <w:spacing w:after="0"/>
        <w:jc w:val="left"/>
        <w:rPr>
          <w:rFonts w:cs="Arial"/>
          <w:b/>
          <w:highlight w:val="yellow"/>
          <w:u w:val="single"/>
        </w:rPr>
      </w:pPr>
    </w:p>
    <w:p w:rsidR="00E2507D" w:rsidRPr="00506BBC" w:rsidP="00E2507D">
      <w:pPr>
        <w:autoSpaceDE/>
        <w:autoSpaceDN/>
        <w:adjustRightInd/>
        <w:spacing w:after="0"/>
        <w:jc w:val="left"/>
        <w:rPr>
          <w:rFonts w:cs="Arial"/>
          <w:b/>
          <w:highlight w:val="yellow"/>
          <w:u w:val="single"/>
        </w:rPr>
      </w:pPr>
    </w:p>
    <w:p w:rsidR="00E2507D" w:rsidRPr="00506BBC" w:rsidP="00E2507D">
      <w:pPr>
        <w:autoSpaceDE/>
        <w:autoSpaceDN/>
        <w:adjustRightInd/>
        <w:spacing w:after="0"/>
        <w:jc w:val="left"/>
        <w:rPr>
          <w:rFonts w:cs="Arial"/>
          <w:b/>
          <w:highlight w:val="yellow"/>
          <w:u w:val="single"/>
        </w:rPr>
      </w:pPr>
    </w:p>
    <w:p w:rsidR="00E2507D" w:rsidRPr="00506BBC" w:rsidP="00E2507D">
      <w:pPr>
        <w:autoSpaceDE/>
        <w:autoSpaceDN/>
        <w:adjustRightInd/>
        <w:spacing w:after="0"/>
        <w:jc w:val="left"/>
        <w:rPr>
          <w:rFonts w:cs="Arial"/>
          <w:b/>
          <w:highlight w:val="yellow"/>
          <w:u w:val="single"/>
        </w:rPr>
      </w:pPr>
    </w:p>
    <w:p w:rsidR="00E2507D" w:rsidRPr="00506BBC" w:rsidP="00E2507D">
      <w:pPr>
        <w:autoSpaceDE/>
        <w:autoSpaceDN/>
        <w:adjustRightInd/>
        <w:spacing w:after="0"/>
        <w:jc w:val="left"/>
        <w:rPr>
          <w:rFonts w:cs="Arial"/>
          <w:b/>
          <w:highlight w:val="yellow"/>
          <w:u w:val="single"/>
        </w:rPr>
      </w:pPr>
    </w:p>
    <w:p w:rsidR="00E2507D" w:rsidRPr="00506BBC" w:rsidP="00E2507D">
      <w:pPr>
        <w:autoSpaceDE/>
        <w:autoSpaceDN/>
        <w:adjustRightInd/>
        <w:spacing w:after="0"/>
        <w:jc w:val="left"/>
        <w:rPr>
          <w:rFonts w:cs="Arial"/>
          <w:b/>
          <w:highlight w:val="yellow"/>
          <w:u w:val="single"/>
        </w:rPr>
      </w:pPr>
    </w:p>
    <w:p w:rsidR="00E2507D" w:rsidRPr="00506BBC" w:rsidP="00E2507D">
      <w:pPr>
        <w:autoSpaceDE/>
        <w:autoSpaceDN/>
        <w:adjustRightInd/>
        <w:spacing w:after="0"/>
        <w:jc w:val="left"/>
        <w:rPr>
          <w:rFonts w:cs="Arial"/>
          <w:b/>
          <w:highlight w:val="yellow"/>
          <w:u w:val="single"/>
        </w:rPr>
      </w:pPr>
    </w:p>
    <w:p w:rsidR="00E2507D" w:rsidRPr="00506BBC" w:rsidP="00E2507D">
      <w:pPr>
        <w:autoSpaceDE/>
        <w:autoSpaceDN/>
        <w:adjustRightInd/>
        <w:spacing w:after="0"/>
        <w:jc w:val="left"/>
        <w:rPr>
          <w:rFonts w:cs="Arial"/>
          <w:b/>
          <w:highlight w:val="yellow"/>
          <w:u w:val="single"/>
        </w:rPr>
      </w:pPr>
    </w:p>
    <w:p w:rsidR="00E2507D" w:rsidRPr="00506BBC" w:rsidP="00E2507D">
      <w:pPr>
        <w:autoSpaceDE/>
        <w:autoSpaceDN/>
        <w:adjustRightInd/>
        <w:spacing w:after="0"/>
        <w:jc w:val="left"/>
        <w:rPr>
          <w:rFonts w:cs="Arial"/>
          <w:b/>
          <w:highlight w:val="yellow"/>
          <w:u w:val="single"/>
        </w:rPr>
      </w:pPr>
    </w:p>
    <w:p w:rsidR="00E2507D" w:rsidRPr="009D7892" w:rsidP="00E2507D">
      <w:pPr>
        <w:autoSpaceDE/>
        <w:autoSpaceDN/>
        <w:adjustRightInd/>
        <w:spacing w:after="0"/>
        <w:jc w:val="left"/>
        <w:rPr>
          <w:rFonts w:eastAsia="Times New Roman" w:cs="Arial"/>
          <w:b/>
          <w:lang w:eastAsia="en-GB"/>
        </w:rPr>
      </w:pPr>
      <w:r w:rsidRPr="009D7892">
        <w:rPr>
          <w:rFonts w:cs="Arial"/>
          <w:b/>
        </w:rPr>
        <w:t xml:space="preserve">3.4 </w:t>
      </w:r>
      <w:r w:rsidRPr="009D7892">
        <w:rPr>
          <w:rFonts w:cs="Arial"/>
          <w:b/>
        </w:rPr>
        <w:tab/>
        <w:t xml:space="preserve">Education and </w:t>
      </w:r>
      <w:r w:rsidRPr="009D7892">
        <w:rPr>
          <w:rFonts w:eastAsia="Times New Roman" w:cs="Arial"/>
          <w:b/>
          <w:lang w:eastAsia="en-GB"/>
        </w:rPr>
        <w:t xml:space="preserve">Children's Services </w:t>
      </w:r>
    </w:p>
    <w:p w:rsidR="00E2507D" w:rsidRPr="00506BBC" w:rsidP="00E2507D">
      <w:pPr>
        <w:tabs>
          <w:tab w:val="left" w:pos="0"/>
          <w:tab w:val="left" w:pos="1418"/>
        </w:tabs>
        <w:contextualSpacing/>
        <w:rPr>
          <w:rFonts w:cs="Arial"/>
          <w:highlight w:val="yellow"/>
        </w:rPr>
      </w:pPr>
    </w:p>
    <w:tbl>
      <w:tblPr>
        <w:tblW w:w="8947" w:type="dxa"/>
        <w:tblLook w:val="04A0"/>
      </w:tblPr>
      <w:tblGrid>
        <w:gridCol w:w="884"/>
        <w:gridCol w:w="1979"/>
        <w:gridCol w:w="1337"/>
        <w:gridCol w:w="1096"/>
        <w:gridCol w:w="1217"/>
        <w:gridCol w:w="1217"/>
        <w:gridCol w:w="1217"/>
      </w:tblGrid>
      <w:tr w:rsidTr="00E2507D">
        <w:tblPrEx>
          <w:tblW w:w="8947" w:type="dxa"/>
          <w:tblLook w:val="04A0"/>
        </w:tblPrEx>
        <w:trPr>
          <w:trHeight w:val="859"/>
        </w:trPr>
        <w:tc>
          <w:tcPr>
            <w:tcW w:w="884" w:type="dxa"/>
            <w:tcBorders>
              <w:top w:val="single" w:sz="4" w:space="0" w:color="auto"/>
              <w:left w:val="single" w:sz="4" w:space="0" w:color="auto"/>
              <w:bottom w:val="nil"/>
              <w:right w:val="single" w:sz="4" w:space="0" w:color="auto"/>
            </w:tcBorders>
            <w:shd w:val="clear" w:color="000000" w:fill="D9D9D9"/>
            <w:vAlign w:val="center"/>
            <w:hideMark/>
          </w:tcPr>
          <w:p w:rsidR="00E2507D" w:rsidRPr="009D7892" w:rsidP="00E2507D">
            <w:pPr>
              <w:autoSpaceDE/>
              <w:autoSpaceDN/>
              <w:adjustRightInd/>
              <w:spacing w:after="0"/>
              <w:jc w:val="center"/>
              <w:rPr>
                <w:rFonts w:eastAsia="Times New Roman" w:cs="Arial"/>
                <w:b/>
                <w:bCs/>
                <w:lang w:eastAsia="en-GB"/>
              </w:rPr>
            </w:pPr>
            <w:r w:rsidRPr="009D7892">
              <w:rPr>
                <w:rFonts w:eastAsia="Times New Roman" w:cs="Arial"/>
                <w:b/>
                <w:bCs/>
                <w:lang w:eastAsia="en-GB"/>
              </w:rPr>
              <w:t>Ref</w:t>
            </w:r>
          </w:p>
        </w:tc>
        <w:tc>
          <w:tcPr>
            <w:tcW w:w="1979" w:type="dxa"/>
            <w:tcBorders>
              <w:top w:val="single" w:sz="4" w:space="0" w:color="auto"/>
              <w:left w:val="nil"/>
              <w:bottom w:val="nil"/>
              <w:right w:val="single" w:sz="4" w:space="0" w:color="auto"/>
            </w:tcBorders>
            <w:shd w:val="clear" w:color="000000" w:fill="D9D9D9"/>
            <w:vAlign w:val="center"/>
            <w:hideMark/>
          </w:tcPr>
          <w:p w:rsidR="00E2507D" w:rsidRPr="009D7892" w:rsidP="00E2507D">
            <w:pPr>
              <w:autoSpaceDE/>
              <w:autoSpaceDN/>
              <w:adjustRightInd/>
              <w:spacing w:after="0"/>
              <w:jc w:val="center"/>
              <w:rPr>
                <w:rFonts w:eastAsia="Times New Roman" w:cs="Arial"/>
                <w:b/>
                <w:bCs/>
                <w:lang w:eastAsia="en-GB"/>
              </w:rPr>
            </w:pPr>
            <w:r w:rsidRPr="009D7892">
              <w:rPr>
                <w:rFonts w:eastAsia="Times New Roman" w:cs="Arial"/>
                <w:b/>
                <w:bCs/>
                <w:lang w:eastAsia="en-GB"/>
              </w:rPr>
              <w:t>Head of Service</w:t>
            </w:r>
          </w:p>
        </w:tc>
        <w:tc>
          <w:tcPr>
            <w:tcW w:w="1337" w:type="dxa"/>
            <w:tcBorders>
              <w:top w:val="single" w:sz="4" w:space="0" w:color="auto"/>
              <w:left w:val="nil"/>
              <w:bottom w:val="nil"/>
              <w:right w:val="single" w:sz="4" w:space="0" w:color="auto"/>
            </w:tcBorders>
            <w:shd w:val="clear" w:color="000000" w:fill="D9D9D9"/>
            <w:vAlign w:val="center"/>
            <w:hideMark/>
          </w:tcPr>
          <w:p w:rsidR="00E2507D" w:rsidRPr="009D7892" w:rsidP="00E2507D">
            <w:pPr>
              <w:autoSpaceDE/>
              <w:autoSpaceDN/>
              <w:adjustRightInd/>
              <w:spacing w:after="0"/>
              <w:jc w:val="center"/>
              <w:rPr>
                <w:rFonts w:eastAsia="Times New Roman" w:cs="Arial"/>
                <w:b/>
                <w:bCs/>
                <w:lang w:eastAsia="en-GB"/>
              </w:rPr>
            </w:pPr>
            <w:r w:rsidRPr="009D7892">
              <w:rPr>
                <w:rFonts w:eastAsia="Times New Roman" w:cs="Arial"/>
                <w:b/>
                <w:bCs/>
                <w:lang w:eastAsia="en-GB"/>
              </w:rPr>
              <w:t>Approved Budget</w:t>
            </w:r>
          </w:p>
        </w:tc>
        <w:tc>
          <w:tcPr>
            <w:tcW w:w="1096" w:type="dxa"/>
            <w:tcBorders>
              <w:top w:val="single" w:sz="4" w:space="0" w:color="auto"/>
              <w:left w:val="nil"/>
              <w:bottom w:val="nil"/>
              <w:right w:val="single" w:sz="4" w:space="0" w:color="auto"/>
            </w:tcBorders>
            <w:shd w:val="clear" w:color="000000" w:fill="D9D9D9"/>
            <w:vAlign w:val="center"/>
            <w:hideMark/>
          </w:tcPr>
          <w:p w:rsidR="00E2507D" w:rsidRPr="009D7892" w:rsidP="00E2507D">
            <w:pPr>
              <w:autoSpaceDE/>
              <w:autoSpaceDN/>
              <w:adjustRightInd/>
              <w:spacing w:after="0"/>
              <w:jc w:val="center"/>
              <w:rPr>
                <w:rFonts w:eastAsia="Times New Roman" w:cs="Arial"/>
                <w:b/>
                <w:bCs/>
                <w:lang w:eastAsia="en-GB"/>
              </w:rPr>
            </w:pPr>
            <w:r w:rsidRPr="009D7892">
              <w:rPr>
                <w:rFonts w:eastAsia="Times New Roman" w:cs="Arial"/>
                <w:b/>
                <w:bCs/>
                <w:lang w:eastAsia="en-GB"/>
              </w:rPr>
              <w:t>Outturn</w:t>
            </w:r>
          </w:p>
        </w:tc>
        <w:tc>
          <w:tcPr>
            <w:tcW w:w="1217" w:type="dxa"/>
            <w:tcBorders>
              <w:top w:val="single" w:sz="4" w:space="0" w:color="auto"/>
              <w:left w:val="nil"/>
              <w:bottom w:val="nil"/>
              <w:right w:val="single" w:sz="4" w:space="0" w:color="auto"/>
            </w:tcBorders>
            <w:shd w:val="clear" w:color="000000" w:fill="D9D9D9"/>
            <w:vAlign w:val="center"/>
            <w:hideMark/>
          </w:tcPr>
          <w:p w:rsidR="00E2507D" w:rsidRPr="009D7892" w:rsidP="00E2507D">
            <w:pPr>
              <w:autoSpaceDE/>
              <w:autoSpaceDN/>
              <w:adjustRightInd/>
              <w:spacing w:after="0"/>
              <w:jc w:val="center"/>
              <w:rPr>
                <w:rFonts w:eastAsia="Times New Roman" w:cs="Arial"/>
                <w:b/>
                <w:bCs/>
                <w:lang w:eastAsia="en-GB"/>
              </w:rPr>
            </w:pPr>
            <w:r w:rsidRPr="009D7892">
              <w:rPr>
                <w:rFonts w:eastAsia="Times New Roman" w:cs="Arial"/>
                <w:b/>
                <w:bCs/>
                <w:lang w:eastAsia="en-GB"/>
              </w:rPr>
              <w:t>Outturn Variance</w:t>
            </w:r>
          </w:p>
        </w:tc>
        <w:tc>
          <w:tcPr>
            <w:tcW w:w="1217" w:type="dxa"/>
            <w:tcBorders>
              <w:top w:val="single" w:sz="4" w:space="0" w:color="auto"/>
              <w:left w:val="nil"/>
              <w:bottom w:val="nil"/>
              <w:right w:val="single" w:sz="4" w:space="0" w:color="auto"/>
            </w:tcBorders>
            <w:shd w:val="clear" w:color="000000" w:fill="D9D9D9"/>
            <w:vAlign w:val="center"/>
          </w:tcPr>
          <w:p w:rsidR="00E2507D" w:rsidRPr="009D7892" w:rsidP="00E2507D">
            <w:pPr>
              <w:autoSpaceDE/>
              <w:autoSpaceDN/>
              <w:adjustRightInd/>
              <w:spacing w:after="0"/>
              <w:jc w:val="center"/>
              <w:rPr>
                <w:rFonts w:eastAsia="Times New Roman" w:cs="Arial"/>
                <w:b/>
                <w:bCs/>
                <w:lang w:eastAsia="en-GB"/>
              </w:rPr>
            </w:pPr>
            <w:r w:rsidRPr="009D7892">
              <w:rPr>
                <w:rFonts w:eastAsia="Times New Roman" w:cs="Arial"/>
                <w:b/>
                <w:bCs/>
                <w:lang w:eastAsia="en-GB"/>
              </w:rPr>
              <w:t>Outturn Variance</w:t>
            </w:r>
          </w:p>
        </w:tc>
        <w:tc>
          <w:tcPr>
            <w:tcW w:w="1217" w:type="dxa"/>
            <w:tcBorders>
              <w:top w:val="single" w:sz="4" w:space="0" w:color="auto"/>
              <w:left w:val="single" w:sz="4" w:space="0" w:color="auto"/>
              <w:bottom w:val="nil"/>
              <w:right w:val="single" w:sz="4" w:space="0" w:color="auto"/>
            </w:tcBorders>
            <w:shd w:val="clear" w:color="000000" w:fill="D9D9D9"/>
            <w:vAlign w:val="center"/>
            <w:hideMark/>
          </w:tcPr>
          <w:p w:rsidR="00E2507D" w:rsidRPr="009D7892" w:rsidP="00E2507D">
            <w:pPr>
              <w:autoSpaceDE/>
              <w:autoSpaceDN/>
              <w:adjustRightInd/>
              <w:spacing w:after="0"/>
              <w:jc w:val="center"/>
              <w:rPr>
                <w:rFonts w:eastAsia="Times New Roman" w:cs="Arial"/>
                <w:b/>
                <w:bCs/>
                <w:lang w:eastAsia="en-GB"/>
              </w:rPr>
            </w:pPr>
            <w:r w:rsidRPr="009D7892">
              <w:rPr>
                <w:rFonts w:eastAsia="Times New Roman" w:cs="Arial"/>
                <w:b/>
                <w:bCs/>
                <w:lang w:eastAsia="en-GB"/>
              </w:rPr>
              <w:t>Quarter 3 Forecast Variance</w:t>
            </w:r>
          </w:p>
        </w:tc>
      </w:tr>
      <w:tr w:rsidTr="00E2507D">
        <w:tblPrEx>
          <w:tblW w:w="8947" w:type="dxa"/>
          <w:tblLook w:val="04A0"/>
        </w:tblPrEx>
        <w:trPr>
          <w:trHeight w:val="340"/>
        </w:trPr>
        <w:tc>
          <w:tcPr>
            <w:tcW w:w="884" w:type="dxa"/>
            <w:tcBorders>
              <w:top w:val="nil"/>
              <w:left w:val="single" w:sz="4" w:space="0" w:color="auto"/>
              <w:bottom w:val="single" w:sz="4" w:space="0" w:color="auto"/>
              <w:right w:val="single" w:sz="4" w:space="0" w:color="auto"/>
            </w:tcBorders>
            <w:shd w:val="clear" w:color="000000" w:fill="D9D9D9"/>
            <w:vAlign w:val="center"/>
            <w:hideMark/>
          </w:tcPr>
          <w:p w:rsidR="00E2507D" w:rsidRPr="009D7892" w:rsidP="00E2507D">
            <w:pPr>
              <w:autoSpaceDE/>
              <w:autoSpaceDN/>
              <w:adjustRightInd/>
              <w:spacing w:after="0"/>
              <w:jc w:val="center"/>
              <w:rPr>
                <w:rFonts w:eastAsia="Times New Roman" w:cs="Arial"/>
                <w:b/>
                <w:bCs/>
                <w:lang w:eastAsia="en-GB"/>
              </w:rPr>
            </w:pPr>
            <w:r w:rsidRPr="009D7892">
              <w:rPr>
                <w:rFonts w:eastAsia="Times New Roman" w:cs="Arial"/>
                <w:b/>
                <w:bCs/>
                <w:lang w:eastAsia="en-GB"/>
              </w:rPr>
              <w:t> </w:t>
            </w:r>
          </w:p>
        </w:tc>
        <w:tc>
          <w:tcPr>
            <w:tcW w:w="1979" w:type="dxa"/>
            <w:tcBorders>
              <w:top w:val="nil"/>
              <w:left w:val="nil"/>
              <w:bottom w:val="single" w:sz="4" w:space="0" w:color="auto"/>
              <w:right w:val="single" w:sz="4" w:space="0" w:color="auto"/>
            </w:tcBorders>
            <w:shd w:val="clear" w:color="000000" w:fill="D9D9D9"/>
            <w:vAlign w:val="center"/>
            <w:hideMark/>
          </w:tcPr>
          <w:p w:rsidR="00E2507D" w:rsidRPr="009D7892" w:rsidP="00E2507D">
            <w:pPr>
              <w:autoSpaceDE/>
              <w:autoSpaceDN/>
              <w:adjustRightInd/>
              <w:spacing w:after="0"/>
              <w:jc w:val="center"/>
              <w:rPr>
                <w:rFonts w:eastAsia="Times New Roman" w:cs="Arial"/>
                <w:b/>
                <w:bCs/>
                <w:lang w:eastAsia="en-GB"/>
              </w:rPr>
            </w:pPr>
            <w:r w:rsidRPr="009D7892">
              <w:rPr>
                <w:rFonts w:eastAsia="Times New Roman" w:cs="Arial"/>
                <w:b/>
                <w:bCs/>
                <w:lang w:eastAsia="en-GB"/>
              </w:rPr>
              <w:t> </w:t>
            </w:r>
          </w:p>
        </w:tc>
        <w:tc>
          <w:tcPr>
            <w:tcW w:w="1337" w:type="dxa"/>
            <w:tcBorders>
              <w:top w:val="nil"/>
              <w:left w:val="nil"/>
              <w:bottom w:val="single" w:sz="4" w:space="0" w:color="auto"/>
              <w:right w:val="single" w:sz="4" w:space="0" w:color="auto"/>
            </w:tcBorders>
            <w:shd w:val="clear" w:color="000000" w:fill="D9D9D9"/>
            <w:vAlign w:val="center"/>
            <w:hideMark/>
          </w:tcPr>
          <w:p w:rsidR="00E2507D" w:rsidRPr="009D7892" w:rsidP="00E2507D">
            <w:pPr>
              <w:autoSpaceDE/>
              <w:autoSpaceDN/>
              <w:adjustRightInd/>
              <w:spacing w:after="0"/>
              <w:jc w:val="center"/>
              <w:rPr>
                <w:rFonts w:eastAsia="Times New Roman" w:cs="Arial"/>
                <w:b/>
                <w:bCs/>
                <w:lang w:eastAsia="en-GB"/>
              </w:rPr>
            </w:pPr>
            <w:r w:rsidRPr="009D7892">
              <w:rPr>
                <w:rFonts w:eastAsia="Times New Roman" w:cs="Arial"/>
                <w:b/>
                <w:bCs/>
                <w:lang w:eastAsia="en-GB"/>
              </w:rPr>
              <w:t xml:space="preserve"> £m </w:t>
            </w:r>
          </w:p>
        </w:tc>
        <w:tc>
          <w:tcPr>
            <w:tcW w:w="1096" w:type="dxa"/>
            <w:tcBorders>
              <w:top w:val="nil"/>
              <w:left w:val="nil"/>
              <w:bottom w:val="single" w:sz="4" w:space="0" w:color="auto"/>
              <w:right w:val="single" w:sz="4" w:space="0" w:color="auto"/>
            </w:tcBorders>
            <w:shd w:val="clear" w:color="000000" w:fill="D9D9D9"/>
            <w:vAlign w:val="center"/>
            <w:hideMark/>
          </w:tcPr>
          <w:p w:rsidR="00E2507D" w:rsidRPr="009D7892" w:rsidP="00E2507D">
            <w:pPr>
              <w:autoSpaceDE/>
              <w:autoSpaceDN/>
              <w:adjustRightInd/>
              <w:spacing w:after="0"/>
              <w:jc w:val="center"/>
              <w:rPr>
                <w:rFonts w:eastAsia="Times New Roman" w:cs="Arial"/>
                <w:b/>
                <w:bCs/>
                <w:lang w:eastAsia="en-GB"/>
              </w:rPr>
            </w:pPr>
            <w:r w:rsidRPr="009D7892">
              <w:rPr>
                <w:rFonts w:eastAsia="Times New Roman" w:cs="Arial"/>
                <w:b/>
                <w:bCs/>
                <w:lang w:eastAsia="en-GB"/>
              </w:rPr>
              <w:t xml:space="preserve"> £m </w:t>
            </w:r>
          </w:p>
        </w:tc>
        <w:tc>
          <w:tcPr>
            <w:tcW w:w="1217" w:type="dxa"/>
            <w:tcBorders>
              <w:top w:val="nil"/>
              <w:left w:val="nil"/>
              <w:bottom w:val="single" w:sz="4" w:space="0" w:color="auto"/>
              <w:right w:val="single" w:sz="4" w:space="0" w:color="auto"/>
            </w:tcBorders>
            <w:shd w:val="clear" w:color="000000" w:fill="D9D9D9"/>
            <w:vAlign w:val="center"/>
            <w:hideMark/>
          </w:tcPr>
          <w:p w:rsidR="00E2507D" w:rsidRPr="009D7892" w:rsidP="00E2507D">
            <w:pPr>
              <w:autoSpaceDE/>
              <w:autoSpaceDN/>
              <w:adjustRightInd/>
              <w:spacing w:after="0"/>
              <w:jc w:val="center"/>
              <w:rPr>
                <w:rFonts w:eastAsia="Times New Roman" w:cs="Arial"/>
                <w:b/>
                <w:bCs/>
                <w:lang w:eastAsia="en-GB"/>
              </w:rPr>
            </w:pPr>
            <w:r w:rsidRPr="009D7892">
              <w:rPr>
                <w:rFonts w:eastAsia="Times New Roman" w:cs="Arial"/>
                <w:b/>
                <w:bCs/>
                <w:lang w:eastAsia="en-GB"/>
              </w:rPr>
              <w:t xml:space="preserve"> £m </w:t>
            </w:r>
          </w:p>
        </w:tc>
        <w:tc>
          <w:tcPr>
            <w:tcW w:w="1217" w:type="dxa"/>
            <w:tcBorders>
              <w:top w:val="nil"/>
              <w:left w:val="nil"/>
              <w:bottom w:val="single" w:sz="4" w:space="0" w:color="auto"/>
              <w:right w:val="single" w:sz="4" w:space="0" w:color="auto"/>
            </w:tcBorders>
            <w:shd w:val="clear" w:color="000000" w:fill="D9D9D9"/>
            <w:vAlign w:val="center"/>
          </w:tcPr>
          <w:p w:rsidR="00E2507D" w:rsidRPr="009D7892" w:rsidP="00E2507D">
            <w:pPr>
              <w:autoSpaceDE/>
              <w:autoSpaceDN/>
              <w:adjustRightInd/>
              <w:spacing w:after="0"/>
              <w:jc w:val="center"/>
              <w:rPr>
                <w:rFonts w:eastAsia="Times New Roman" w:cs="Arial"/>
                <w:b/>
                <w:bCs/>
                <w:lang w:eastAsia="en-GB"/>
              </w:rPr>
            </w:pPr>
            <w:r w:rsidRPr="009D7892">
              <w:rPr>
                <w:rFonts w:eastAsia="Times New Roman" w:cs="Arial"/>
                <w:b/>
                <w:bCs/>
                <w:lang w:eastAsia="en-GB"/>
              </w:rPr>
              <w:t>%</w:t>
            </w:r>
          </w:p>
        </w:tc>
        <w:tc>
          <w:tcPr>
            <w:tcW w:w="1217" w:type="dxa"/>
            <w:tcBorders>
              <w:top w:val="nil"/>
              <w:left w:val="single" w:sz="4" w:space="0" w:color="auto"/>
              <w:bottom w:val="single" w:sz="4" w:space="0" w:color="auto"/>
              <w:right w:val="single" w:sz="4" w:space="0" w:color="auto"/>
            </w:tcBorders>
            <w:shd w:val="clear" w:color="000000" w:fill="D9D9D9"/>
            <w:vAlign w:val="center"/>
            <w:hideMark/>
          </w:tcPr>
          <w:p w:rsidR="00E2507D" w:rsidRPr="009D7892" w:rsidP="00E2507D">
            <w:pPr>
              <w:autoSpaceDE/>
              <w:autoSpaceDN/>
              <w:adjustRightInd/>
              <w:spacing w:after="0"/>
              <w:jc w:val="center"/>
              <w:rPr>
                <w:rFonts w:eastAsia="Times New Roman" w:cs="Arial"/>
                <w:b/>
                <w:bCs/>
                <w:lang w:eastAsia="en-GB"/>
              </w:rPr>
            </w:pPr>
            <w:r w:rsidRPr="009D7892">
              <w:rPr>
                <w:rFonts w:eastAsia="Times New Roman" w:cs="Arial"/>
                <w:b/>
                <w:bCs/>
                <w:lang w:eastAsia="en-GB"/>
              </w:rPr>
              <w:t xml:space="preserve"> £m </w:t>
            </w:r>
          </w:p>
        </w:tc>
      </w:tr>
      <w:tr w:rsidTr="00E2507D">
        <w:tblPrEx>
          <w:tblW w:w="8947" w:type="dxa"/>
          <w:tblLook w:val="04A0"/>
        </w:tblPrEx>
        <w:trPr>
          <w:trHeight w:val="627"/>
        </w:trPr>
        <w:tc>
          <w:tcPr>
            <w:tcW w:w="884" w:type="dxa"/>
            <w:tcBorders>
              <w:top w:val="nil"/>
              <w:left w:val="single" w:sz="4" w:space="0" w:color="auto"/>
              <w:bottom w:val="single" w:sz="4" w:space="0" w:color="auto"/>
              <w:right w:val="single" w:sz="4" w:space="0" w:color="auto"/>
            </w:tcBorders>
            <w:shd w:val="clear" w:color="auto" w:fill="auto"/>
            <w:vAlign w:val="center"/>
            <w:hideMark/>
          </w:tcPr>
          <w:p w:rsidR="00E2507D" w:rsidRPr="001301AB" w:rsidP="00E2507D">
            <w:pPr>
              <w:autoSpaceDE/>
              <w:autoSpaceDN/>
              <w:adjustRightInd/>
              <w:spacing w:after="0"/>
              <w:jc w:val="center"/>
              <w:rPr>
                <w:rFonts w:eastAsia="Times New Roman" w:cs="Arial"/>
                <w:b/>
                <w:bCs/>
                <w:lang w:eastAsia="en-GB"/>
              </w:rPr>
            </w:pPr>
            <w:r w:rsidRPr="001301AB">
              <w:rPr>
                <w:rFonts w:eastAsia="Times New Roman" w:cs="Arial"/>
                <w:b/>
                <w:bCs/>
                <w:lang w:eastAsia="en-GB"/>
              </w:rPr>
              <w:t>3.4.1</w:t>
            </w:r>
          </w:p>
        </w:tc>
        <w:tc>
          <w:tcPr>
            <w:tcW w:w="1979" w:type="dxa"/>
            <w:tcBorders>
              <w:top w:val="nil"/>
              <w:left w:val="nil"/>
              <w:bottom w:val="single" w:sz="4" w:space="0" w:color="auto"/>
              <w:right w:val="single" w:sz="4" w:space="0" w:color="auto"/>
            </w:tcBorders>
            <w:shd w:val="clear" w:color="auto" w:fill="auto"/>
            <w:vAlign w:val="center"/>
            <w:hideMark/>
          </w:tcPr>
          <w:p w:rsidR="00E2507D" w:rsidRPr="001301AB" w:rsidP="00E2507D">
            <w:pPr>
              <w:autoSpaceDE/>
              <w:autoSpaceDN/>
              <w:adjustRightInd/>
              <w:spacing w:after="0"/>
              <w:jc w:val="left"/>
              <w:rPr>
                <w:rFonts w:eastAsia="Times New Roman" w:cs="Arial"/>
                <w:lang w:eastAsia="en-GB"/>
              </w:rPr>
            </w:pPr>
            <w:r w:rsidRPr="001301AB">
              <w:rPr>
                <w:rFonts w:eastAsia="Times New Roman" w:cs="Arial"/>
                <w:lang w:eastAsia="en-GB"/>
              </w:rPr>
              <w:t>Children's Social Care Localities</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2507D" w:rsidRPr="001301AB" w:rsidP="00E2507D">
            <w:pPr>
              <w:autoSpaceDE/>
              <w:autoSpaceDN/>
              <w:adjustRightInd/>
              <w:spacing w:after="0"/>
              <w:jc w:val="right"/>
              <w:rPr>
                <w:rFonts w:eastAsia="Times New Roman" w:cs="Arial"/>
                <w:highlight w:val="yellow"/>
                <w:lang w:eastAsia="en-GB"/>
              </w:rPr>
            </w:pPr>
            <w:r w:rsidRPr="001301AB">
              <w:rPr>
                <w:rFonts w:eastAsia="Times New Roman" w:cs="Arial"/>
                <w:lang w:eastAsia="en-GB"/>
              </w:rPr>
              <w:t>101.737</w:t>
            </w:r>
          </w:p>
        </w:tc>
        <w:tc>
          <w:tcPr>
            <w:tcW w:w="1096" w:type="dxa"/>
            <w:tcBorders>
              <w:top w:val="single" w:sz="4" w:space="0" w:color="auto"/>
              <w:left w:val="nil"/>
              <w:bottom w:val="single" w:sz="4" w:space="0" w:color="auto"/>
              <w:right w:val="single" w:sz="4" w:space="0" w:color="auto"/>
            </w:tcBorders>
            <w:shd w:val="clear" w:color="auto" w:fill="auto"/>
            <w:vAlign w:val="center"/>
          </w:tcPr>
          <w:p w:rsidR="00E2507D" w:rsidRPr="000F6C03" w:rsidP="00E2507D">
            <w:pPr>
              <w:autoSpaceDE/>
              <w:autoSpaceDN/>
              <w:adjustRightInd/>
              <w:spacing w:after="0"/>
              <w:jc w:val="right"/>
              <w:rPr>
                <w:rFonts w:eastAsia="Times New Roman" w:cs="Arial"/>
                <w:lang w:eastAsia="en-GB"/>
              </w:rPr>
            </w:pPr>
            <w:r w:rsidRPr="000F6C03">
              <w:rPr>
                <w:rFonts w:cs="Arial"/>
              </w:rPr>
              <w:t>104.668</w:t>
            </w:r>
          </w:p>
        </w:tc>
        <w:tc>
          <w:tcPr>
            <w:tcW w:w="1217" w:type="dxa"/>
            <w:tcBorders>
              <w:top w:val="single" w:sz="4" w:space="0" w:color="auto"/>
              <w:left w:val="nil"/>
              <w:bottom w:val="single" w:sz="4" w:space="0" w:color="auto"/>
              <w:right w:val="single" w:sz="4" w:space="0" w:color="auto"/>
            </w:tcBorders>
            <w:shd w:val="clear" w:color="000000" w:fill="D9D9D9"/>
            <w:vAlign w:val="center"/>
          </w:tcPr>
          <w:p w:rsidR="00E2507D" w:rsidRPr="000F6C03" w:rsidP="00E2507D">
            <w:pPr>
              <w:autoSpaceDE/>
              <w:autoSpaceDN/>
              <w:adjustRightInd/>
              <w:spacing w:after="0"/>
              <w:jc w:val="right"/>
              <w:rPr>
                <w:rFonts w:eastAsia="Times New Roman" w:cs="Arial"/>
                <w:lang w:eastAsia="en-GB"/>
              </w:rPr>
            </w:pPr>
            <w:r w:rsidRPr="000F6C03">
              <w:rPr>
                <w:rFonts w:cs="Arial"/>
              </w:rPr>
              <w:t>2.931</w:t>
            </w:r>
          </w:p>
        </w:tc>
        <w:tc>
          <w:tcPr>
            <w:tcW w:w="1217" w:type="dxa"/>
            <w:tcBorders>
              <w:top w:val="single" w:sz="4" w:space="0" w:color="auto"/>
              <w:left w:val="single" w:sz="4" w:space="0" w:color="auto"/>
              <w:bottom w:val="single" w:sz="4" w:space="0" w:color="auto"/>
              <w:right w:val="single" w:sz="4" w:space="0" w:color="auto"/>
            </w:tcBorders>
            <w:vAlign w:val="center"/>
          </w:tcPr>
          <w:p w:rsidR="00E2507D" w:rsidRPr="00D832E7" w:rsidP="00E2507D">
            <w:pPr>
              <w:autoSpaceDE/>
              <w:autoSpaceDN/>
              <w:adjustRightInd/>
              <w:spacing w:after="0"/>
              <w:jc w:val="right"/>
              <w:rPr>
                <w:rFonts w:cs="Arial"/>
              </w:rPr>
            </w:pPr>
            <w:r w:rsidRPr="00D832E7">
              <w:rPr>
                <w:rFonts w:cs="Arial"/>
              </w:rPr>
              <w:t>2.88%</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E2507D" w:rsidRPr="00D832E7" w:rsidP="00E2507D">
            <w:pPr>
              <w:autoSpaceDE/>
              <w:autoSpaceDN/>
              <w:adjustRightInd/>
              <w:spacing w:after="0"/>
              <w:jc w:val="right"/>
              <w:rPr>
                <w:rFonts w:eastAsia="Times New Roman" w:cs="Arial"/>
                <w:lang w:eastAsia="en-GB"/>
              </w:rPr>
            </w:pPr>
            <w:r w:rsidRPr="00D832E7">
              <w:rPr>
                <w:rFonts w:cs="Arial"/>
              </w:rPr>
              <w:t>3.271</w:t>
            </w:r>
          </w:p>
        </w:tc>
      </w:tr>
      <w:tr w:rsidTr="00E2507D">
        <w:tblPrEx>
          <w:tblW w:w="8947" w:type="dxa"/>
          <w:tblLook w:val="04A0"/>
        </w:tblPrEx>
        <w:trPr>
          <w:trHeight w:val="627"/>
        </w:trPr>
        <w:tc>
          <w:tcPr>
            <w:tcW w:w="884" w:type="dxa"/>
            <w:tcBorders>
              <w:top w:val="nil"/>
              <w:left w:val="single" w:sz="4" w:space="0" w:color="auto"/>
              <w:bottom w:val="single" w:sz="4" w:space="0" w:color="auto"/>
              <w:right w:val="single" w:sz="4" w:space="0" w:color="auto"/>
            </w:tcBorders>
            <w:shd w:val="clear" w:color="auto" w:fill="auto"/>
            <w:vAlign w:val="center"/>
            <w:hideMark/>
          </w:tcPr>
          <w:p w:rsidR="00E2507D" w:rsidRPr="001301AB" w:rsidP="00E2507D">
            <w:pPr>
              <w:autoSpaceDE/>
              <w:autoSpaceDN/>
              <w:adjustRightInd/>
              <w:spacing w:after="0"/>
              <w:jc w:val="center"/>
              <w:rPr>
                <w:rFonts w:eastAsia="Times New Roman" w:cs="Arial"/>
                <w:b/>
                <w:bCs/>
                <w:lang w:eastAsia="en-GB"/>
              </w:rPr>
            </w:pPr>
            <w:r w:rsidRPr="001301AB">
              <w:rPr>
                <w:rFonts w:eastAsia="Times New Roman" w:cs="Arial"/>
                <w:b/>
                <w:bCs/>
                <w:lang w:eastAsia="en-GB"/>
              </w:rPr>
              <w:t>3.4.2</w:t>
            </w:r>
          </w:p>
        </w:tc>
        <w:tc>
          <w:tcPr>
            <w:tcW w:w="1979" w:type="dxa"/>
            <w:tcBorders>
              <w:top w:val="nil"/>
              <w:left w:val="nil"/>
              <w:bottom w:val="single" w:sz="4" w:space="0" w:color="auto"/>
              <w:right w:val="single" w:sz="4" w:space="0" w:color="auto"/>
            </w:tcBorders>
            <w:shd w:val="clear" w:color="auto" w:fill="auto"/>
            <w:vAlign w:val="center"/>
            <w:hideMark/>
          </w:tcPr>
          <w:p w:rsidR="00E2507D" w:rsidRPr="001301AB" w:rsidP="00E2507D">
            <w:pPr>
              <w:autoSpaceDE/>
              <w:autoSpaceDN/>
              <w:adjustRightInd/>
              <w:spacing w:after="0"/>
              <w:jc w:val="left"/>
              <w:rPr>
                <w:rFonts w:eastAsia="Times New Roman" w:cs="Arial"/>
                <w:lang w:eastAsia="en-GB"/>
              </w:rPr>
            </w:pPr>
            <w:r w:rsidRPr="001301AB">
              <w:rPr>
                <w:rFonts w:eastAsia="Times New Roman" w:cs="Arial"/>
                <w:lang w:eastAsia="en-GB"/>
              </w:rPr>
              <w:t>Fostering, Adoption, Residential and YOT</w:t>
            </w:r>
          </w:p>
        </w:tc>
        <w:tc>
          <w:tcPr>
            <w:tcW w:w="1337" w:type="dxa"/>
            <w:tcBorders>
              <w:top w:val="nil"/>
              <w:left w:val="single" w:sz="4" w:space="0" w:color="auto"/>
              <w:bottom w:val="single" w:sz="4" w:space="0" w:color="auto"/>
              <w:right w:val="single" w:sz="4" w:space="0" w:color="auto"/>
            </w:tcBorders>
            <w:shd w:val="clear" w:color="auto" w:fill="auto"/>
            <w:vAlign w:val="center"/>
          </w:tcPr>
          <w:p w:rsidR="00E2507D" w:rsidRPr="001301AB" w:rsidP="00E2507D">
            <w:pPr>
              <w:autoSpaceDE/>
              <w:autoSpaceDN/>
              <w:adjustRightInd/>
              <w:spacing w:after="0"/>
              <w:jc w:val="right"/>
              <w:rPr>
                <w:rFonts w:eastAsia="Times New Roman" w:cs="Arial"/>
                <w:highlight w:val="yellow"/>
                <w:lang w:eastAsia="en-GB"/>
              </w:rPr>
            </w:pPr>
            <w:r w:rsidRPr="001301AB">
              <w:rPr>
                <w:rFonts w:eastAsia="Times New Roman" w:cs="Arial"/>
                <w:lang w:eastAsia="en-GB"/>
              </w:rPr>
              <w:t>30.688</w:t>
            </w:r>
          </w:p>
        </w:tc>
        <w:tc>
          <w:tcPr>
            <w:tcW w:w="1096" w:type="dxa"/>
            <w:tcBorders>
              <w:top w:val="nil"/>
              <w:left w:val="nil"/>
              <w:bottom w:val="single" w:sz="4" w:space="0" w:color="auto"/>
              <w:right w:val="single" w:sz="4" w:space="0" w:color="auto"/>
            </w:tcBorders>
            <w:shd w:val="clear" w:color="auto" w:fill="auto"/>
            <w:vAlign w:val="center"/>
          </w:tcPr>
          <w:p w:rsidR="00E2507D" w:rsidRPr="000F6C03" w:rsidP="00E2507D">
            <w:pPr>
              <w:autoSpaceDE/>
              <w:autoSpaceDN/>
              <w:adjustRightInd/>
              <w:spacing w:after="0"/>
              <w:jc w:val="right"/>
              <w:rPr>
                <w:rFonts w:eastAsia="Times New Roman" w:cs="Arial"/>
                <w:lang w:eastAsia="en-GB"/>
              </w:rPr>
            </w:pPr>
            <w:r w:rsidRPr="000F6C03">
              <w:rPr>
                <w:rFonts w:cs="Arial"/>
              </w:rPr>
              <w:t>31.395</w:t>
            </w:r>
          </w:p>
        </w:tc>
        <w:tc>
          <w:tcPr>
            <w:tcW w:w="1217" w:type="dxa"/>
            <w:tcBorders>
              <w:top w:val="nil"/>
              <w:left w:val="nil"/>
              <w:bottom w:val="single" w:sz="4" w:space="0" w:color="auto"/>
              <w:right w:val="single" w:sz="4" w:space="0" w:color="auto"/>
            </w:tcBorders>
            <w:shd w:val="clear" w:color="000000" w:fill="D9D9D9"/>
            <w:vAlign w:val="center"/>
          </w:tcPr>
          <w:p w:rsidR="00E2507D" w:rsidRPr="000F6C03" w:rsidP="00E2507D">
            <w:pPr>
              <w:autoSpaceDE/>
              <w:autoSpaceDN/>
              <w:adjustRightInd/>
              <w:spacing w:after="0"/>
              <w:jc w:val="right"/>
              <w:rPr>
                <w:rFonts w:eastAsia="Times New Roman" w:cs="Arial"/>
                <w:lang w:eastAsia="en-GB"/>
              </w:rPr>
            </w:pPr>
            <w:r w:rsidRPr="000F6C03">
              <w:rPr>
                <w:rFonts w:cs="Arial"/>
              </w:rPr>
              <w:t>0.707</w:t>
            </w:r>
          </w:p>
        </w:tc>
        <w:tc>
          <w:tcPr>
            <w:tcW w:w="1217" w:type="dxa"/>
            <w:tcBorders>
              <w:top w:val="nil"/>
              <w:left w:val="single" w:sz="4" w:space="0" w:color="auto"/>
              <w:bottom w:val="single" w:sz="4" w:space="0" w:color="auto"/>
              <w:right w:val="single" w:sz="4" w:space="0" w:color="auto"/>
            </w:tcBorders>
            <w:vAlign w:val="center"/>
          </w:tcPr>
          <w:p w:rsidR="00E2507D" w:rsidRPr="00D832E7" w:rsidP="00E2507D">
            <w:pPr>
              <w:autoSpaceDE/>
              <w:autoSpaceDN/>
              <w:adjustRightInd/>
              <w:spacing w:after="0"/>
              <w:jc w:val="right"/>
              <w:rPr>
                <w:rFonts w:cs="Arial"/>
              </w:rPr>
            </w:pPr>
            <w:r w:rsidRPr="00D832E7">
              <w:rPr>
                <w:rFonts w:cs="Arial"/>
              </w:rPr>
              <w:t>2.30%</w:t>
            </w:r>
          </w:p>
        </w:tc>
        <w:tc>
          <w:tcPr>
            <w:tcW w:w="1217" w:type="dxa"/>
            <w:tcBorders>
              <w:top w:val="nil"/>
              <w:left w:val="single" w:sz="4" w:space="0" w:color="auto"/>
              <w:bottom w:val="single" w:sz="4" w:space="0" w:color="auto"/>
              <w:right w:val="single" w:sz="4" w:space="0" w:color="auto"/>
            </w:tcBorders>
            <w:shd w:val="clear" w:color="auto" w:fill="auto"/>
            <w:vAlign w:val="center"/>
          </w:tcPr>
          <w:p w:rsidR="00E2507D" w:rsidRPr="00D832E7" w:rsidP="00E2507D">
            <w:pPr>
              <w:autoSpaceDE/>
              <w:autoSpaceDN/>
              <w:adjustRightInd/>
              <w:spacing w:after="0"/>
              <w:jc w:val="right"/>
              <w:rPr>
                <w:rFonts w:eastAsia="Times New Roman" w:cs="Arial"/>
                <w:lang w:eastAsia="en-GB"/>
              </w:rPr>
            </w:pPr>
            <w:r w:rsidRPr="00D832E7">
              <w:rPr>
                <w:rFonts w:cs="Arial"/>
              </w:rPr>
              <w:t>1.782</w:t>
            </w:r>
          </w:p>
        </w:tc>
      </w:tr>
      <w:tr w:rsidTr="00E2507D">
        <w:tblPrEx>
          <w:tblW w:w="8947" w:type="dxa"/>
          <w:tblLook w:val="04A0"/>
        </w:tblPrEx>
        <w:trPr>
          <w:trHeight w:val="627"/>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E2507D" w:rsidRPr="001301AB" w:rsidP="00E2507D">
            <w:pPr>
              <w:autoSpaceDE/>
              <w:autoSpaceDN/>
              <w:adjustRightInd/>
              <w:spacing w:after="0"/>
              <w:jc w:val="center"/>
              <w:rPr>
                <w:rFonts w:eastAsia="Times New Roman" w:cs="Arial"/>
                <w:b/>
                <w:bCs/>
                <w:lang w:eastAsia="en-GB"/>
              </w:rPr>
            </w:pPr>
            <w:r w:rsidRPr="001301AB">
              <w:rPr>
                <w:rFonts w:eastAsia="Times New Roman" w:cs="Arial"/>
                <w:b/>
                <w:bCs/>
                <w:lang w:eastAsia="en-GB"/>
              </w:rPr>
              <w:t>3.4.3</w:t>
            </w:r>
          </w:p>
        </w:tc>
        <w:tc>
          <w:tcPr>
            <w:tcW w:w="1979" w:type="dxa"/>
            <w:tcBorders>
              <w:top w:val="single" w:sz="4" w:space="0" w:color="auto"/>
              <w:left w:val="nil"/>
              <w:bottom w:val="single" w:sz="4" w:space="0" w:color="auto"/>
              <w:right w:val="single" w:sz="4" w:space="0" w:color="auto"/>
            </w:tcBorders>
            <w:shd w:val="clear" w:color="auto" w:fill="auto"/>
            <w:vAlign w:val="center"/>
            <w:hideMark/>
          </w:tcPr>
          <w:p w:rsidR="00E2507D" w:rsidRPr="001301AB" w:rsidP="00E2507D">
            <w:pPr>
              <w:autoSpaceDE/>
              <w:autoSpaceDN/>
              <w:adjustRightInd/>
              <w:spacing w:after="0"/>
              <w:jc w:val="left"/>
              <w:rPr>
                <w:rFonts w:eastAsia="Times New Roman" w:cs="Arial"/>
                <w:lang w:eastAsia="en-GB"/>
              </w:rPr>
            </w:pPr>
            <w:r w:rsidRPr="001301AB">
              <w:rPr>
                <w:rFonts w:eastAsia="Times New Roman" w:cs="Arial"/>
                <w:lang w:eastAsia="en-GB"/>
              </w:rPr>
              <w:t>Safeguarding, Inspection and Audit</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2507D" w:rsidRPr="001301AB" w:rsidP="00E2507D">
            <w:pPr>
              <w:autoSpaceDE/>
              <w:autoSpaceDN/>
              <w:adjustRightInd/>
              <w:spacing w:after="0"/>
              <w:jc w:val="right"/>
              <w:rPr>
                <w:rFonts w:eastAsia="Times New Roman" w:cs="Arial"/>
                <w:highlight w:val="yellow"/>
                <w:lang w:eastAsia="en-GB"/>
              </w:rPr>
            </w:pPr>
            <w:r w:rsidRPr="001301AB">
              <w:rPr>
                <w:rFonts w:eastAsia="Times New Roman" w:cs="Arial"/>
                <w:lang w:eastAsia="en-GB"/>
              </w:rPr>
              <w:t>11.993</w:t>
            </w:r>
          </w:p>
        </w:tc>
        <w:tc>
          <w:tcPr>
            <w:tcW w:w="1096" w:type="dxa"/>
            <w:tcBorders>
              <w:top w:val="single" w:sz="4" w:space="0" w:color="auto"/>
              <w:left w:val="nil"/>
              <w:bottom w:val="single" w:sz="4" w:space="0" w:color="auto"/>
              <w:right w:val="single" w:sz="4" w:space="0" w:color="auto"/>
            </w:tcBorders>
            <w:shd w:val="clear" w:color="auto" w:fill="auto"/>
            <w:vAlign w:val="center"/>
          </w:tcPr>
          <w:p w:rsidR="00E2507D" w:rsidRPr="000F6C03" w:rsidP="00E2507D">
            <w:pPr>
              <w:autoSpaceDE/>
              <w:autoSpaceDN/>
              <w:adjustRightInd/>
              <w:spacing w:after="0"/>
              <w:jc w:val="right"/>
              <w:rPr>
                <w:rFonts w:eastAsia="Times New Roman" w:cs="Arial"/>
                <w:lang w:eastAsia="en-GB"/>
              </w:rPr>
            </w:pPr>
            <w:r w:rsidRPr="000F6C03">
              <w:rPr>
                <w:rFonts w:cs="Arial"/>
              </w:rPr>
              <w:t>11.338</w:t>
            </w:r>
          </w:p>
        </w:tc>
        <w:tc>
          <w:tcPr>
            <w:tcW w:w="1217" w:type="dxa"/>
            <w:tcBorders>
              <w:top w:val="single" w:sz="4" w:space="0" w:color="auto"/>
              <w:left w:val="nil"/>
              <w:bottom w:val="single" w:sz="4" w:space="0" w:color="auto"/>
              <w:right w:val="single" w:sz="4" w:space="0" w:color="auto"/>
            </w:tcBorders>
            <w:shd w:val="clear" w:color="000000" w:fill="D9D9D9"/>
            <w:vAlign w:val="center"/>
          </w:tcPr>
          <w:p w:rsidR="00E2507D" w:rsidRPr="000F6C03" w:rsidP="00E2507D">
            <w:pPr>
              <w:autoSpaceDE/>
              <w:autoSpaceDN/>
              <w:adjustRightInd/>
              <w:spacing w:after="0"/>
              <w:jc w:val="right"/>
              <w:rPr>
                <w:rFonts w:eastAsia="Times New Roman" w:cs="Arial"/>
                <w:lang w:eastAsia="en-GB"/>
              </w:rPr>
            </w:pPr>
            <w:r w:rsidRPr="000F6C03">
              <w:rPr>
                <w:rFonts w:cs="Arial"/>
              </w:rPr>
              <w:t>-0.655</w:t>
            </w:r>
          </w:p>
        </w:tc>
        <w:tc>
          <w:tcPr>
            <w:tcW w:w="1217" w:type="dxa"/>
            <w:tcBorders>
              <w:top w:val="single" w:sz="4" w:space="0" w:color="auto"/>
              <w:left w:val="single" w:sz="4" w:space="0" w:color="auto"/>
              <w:bottom w:val="single" w:sz="4" w:space="0" w:color="auto"/>
              <w:right w:val="single" w:sz="4" w:space="0" w:color="auto"/>
            </w:tcBorders>
            <w:vAlign w:val="center"/>
          </w:tcPr>
          <w:p w:rsidR="00E2507D" w:rsidRPr="00D832E7" w:rsidP="00E2507D">
            <w:pPr>
              <w:autoSpaceDE/>
              <w:autoSpaceDN/>
              <w:adjustRightInd/>
              <w:spacing w:after="0"/>
              <w:jc w:val="right"/>
              <w:rPr>
                <w:rFonts w:cs="Arial"/>
              </w:rPr>
            </w:pPr>
            <w:r w:rsidRPr="00D832E7">
              <w:rPr>
                <w:rFonts w:cs="Arial"/>
              </w:rPr>
              <w:t>-5.46%</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E2507D" w:rsidRPr="00D832E7" w:rsidP="00E2507D">
            <w:pPr>
              <w:autoSpaceDE/>
              <w:autoSpaceDN/>
              <w:adjustRightInd/>
              <w:spacing w:after="0"/>
              <w:jc w:val="right"/>
              <w:rPr>
                <w:rFonts w:eastAsia="Times New Roman" w:cs="Arial"/>
                <w:lang w:eastAsia="en-GB"/>
              </w:rPr>
            </w:pPr>
            <w:r w:rsidRPr="00D832E7">
              <w:rPr>
                <w:rFonts w:cs="Arial"/>
              </w:rPr>
              <w:t>-0.492</w:t>
            </w:r>
          </w:p>
        </w:tc>
      </w:tr>
      <w:tr w:rsidTr="00E2507D">
        <w:tblPrEx>
          <w:tblW w:w="8947" w:type="dxa"/>
          <w:tblLook w:val="04A0"/>
        </w:tblPrEx>
        <w:trPr>
          <w:trHeight w:val="627"/>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E2507D" w:rsidRPr="001301AB" w:rsidP="00E2507D">
            <w:pPr>
              <w:autoSpaceDE/>
              <w:autoSpaceDN/>
              <w:adjustRightInd/>
              <w:spacing w:after="0"/>
              <w:jc w:val="center"/>
              <w:rPr>
                <w:rFonts w:eastAsia="Times New Roman" w:cs="Arial"/>
                <w:b/>
                <w:bCs/>
                <w:lang w:eastAsia="en-GB"/>
              </w:rPr>
            </w:pPr>
            <w:r w:rsidRPr="001301AB">
              <w:rPr>
                <w:rFonts w:eastAsia="Times New Roman" w:cs="Arial"/>
                <w:b/>
                <w:bCs/>
                <w:lang w:eastAsia="en-GB"/>
              </w:rPr>
              <w:t>3.4.4</w:t>
            </w:r>
          </w:p>
        </w:tc>
        <w:tc>
          <w:tcPr>
            <w:tcW w:w="1979" w:type="dxa"/>
            <w:tcBorders>
              <w:top w:val="single" w:sz="4" w:space="0" w:color="auto"/>
              <w:left w:val="nil"/>
              <w:bottom w:val="single" w:sz="4" w:space="0" w:color="auto"/>
              <w:right w:val="single" w:sz="4" w:space="0" w:color="auto"/>
            </w:tcBorders>
            <w:shd w:val="clear" w:color="auto" w:fill="auto"/>
            <w:vAlign w:val="center"/>
          </w:tcPr>
          <w:p w:rsidR="00E2507D" w:rsidRPr="00E91094" w:rsidP="00E2507D">
            <w:pPr>
              <w:autoSpaceDE/>
              <w:autoSpaceDN/>
              <w:adjustRightInd/>
              <w:spacing w:after="0"/>
              <w:jc w:val="left"/>
              <w:rPr>
                <w:rFonts w:eastAsia="Times New Roman" w:cs="Arial"/>
                <w:lang w:eastAsia="en-GB"/>
              </w:rPr>
            </w:pPr>
            <w:r w:rsidRPr="00E91094">
              <w:rPr>
                <w:rFonts w:eastAsia="Times New Roman" w:cs="Arial"/>
                <w:bCs/>
                <w:lang w:eastAsia="en-GB"/>
              </w:rPr>
              <w:t>Children And Family Wellbeing Service</w:t>
            </w:r>
          </w:p>
        </w:tc>
        <w:tc>
          <w:tcPr>
            <w:tcW w:w="1337" w:type="dxa"/>
            <w:tcBorders>
              <w:top w:val="single" w:sz="4" w:space="0" w:color="auto"/>
              <w:left w:val="single" w:sz="4" w:space="0" w:color="auto"/>
              <w:bottom w:val="nil"/>
              <w:right w:val="single" w:sz="4" w:space="0" w:color="auto"/>
            </w:tcBorders>
            <w:shd w:val="clear" w:color="auto" w:fill="auto"/>
            <w:vAlign w:val="center"/>
          </w:tcPr>
          <w:p w:rsidR="00E2507D" w:rsidRPr="001301AB" w:rsidP="00E2507D">
            <w:pPr>
              <w:autoSpaceDE/>
              <w:autoSpaceDN/>
              <w:adjustRightInd/>
              <w:spacing w:after="0"/>
              <w:jc w:val="right"/>
              <w:rPr>
                <w:rFonts w:cs="Arial"/>
                <w:highlight w:val="yellow"/>
              </w:rPr>
            </w:pPr>
            <w:r w:rsidRPr="001301AB">
              <w:rPr>
                <w:rFonts w:eastAsia="Times New Roman" w:cs="Arial"/>
                <w:lang w:eastAsia="en-GB"/>
              </w:rPr>
              <w:t>15.612</w:t>
            </w:r>
          </w:p>
        </w:tc>
        <w:tc>
          <w:tcPr>
            <w:tcW w:w="1096" w:type="dxa"/>
            <w:tcBorders>
              <w:top w:val="single" w:sz="4" w:space="0" w:color="auto"/>
              <w:left w:val="nil"/>
              <w:bottom w:val="nil"/>
              <w:right w:val="single" w:sz="4" w:space="0" w:color="auto"/>
            </w:tcBorders>
            <w:shd w:val="clear" w:color="auto" w:fill="auto"/>
            <w:vAlign w:val="center"/>
          </w:tcPr>
          <w:p w:rsidR="00E2507D" w:rsidRPr="00E07F4C" w:rsidP="00E2507D">
            <w:pPr>
              <w:autoSpaceDE/>
              <w:autoSpaceDN/>
              <w:adjustRightInd/>
              <w:spacing w:after="0"/>
              <w:jc w:val="right"/>
              <w:rPr>
                <w:rFonts w:cs="Arial"/>
              </w:rPr>
            </w:pPr>
            <w:r w:rsidRPr="00E07F4C">
              <w:rPr>
                <w:rFonts w:cs="Arial"/>
              </w:rPr>
              <w:t>11.234</w:t>
            </w:r>
          </w:p>
        </w:tc>
        <w:tc>
          <w:tcPr>
            <w:tcW w:w="1217" w:type="dxa"/>
            <w:tcBorders>
              <w:top w:val="single" w:sz="4" w:space="0" w:color="auto"/>
              <w:left w:val="nil"/>
              <w:bottom w:val="nil"/>
              <w:right w:val="single" w:sz="4" w:space="0" w:color="auto"/>
            </w:tcBorders>
            <w:shd w:val="clear" w:color="000000" w:fill="D9D9D9"/>
            <w:vAlign w:val="center"/>
          </w:tcPr>
          <w:p w:rsidR="00E2507D" w:rsidRPr="00E07F4C" w:rsidP="00E2507D">
            <w:pPr>
              <w:autoSpaceDE/>
              <w:autoSpaceDN/>
              <w:adjustRightInd/>
              <w:spacing w:after="0"/>
              <w:jc w:val="right"/>
              <w:rPr>
                <w:rFonts w:cs="Arial"/>
              </w:rPr>
            </w:pPr>
            <w:r w:rsidRPr="00E07F4C">
              <w:rPr>
                <w:rFonts w:cs="Arial"/>
              </w:rPr>
              <w:t>-4.378</w:t>
            </w:r>
          </w:p>
        </w:tc>
        <w:tc>
          <w:tcPr>
            <w:tcW w:w="1217" w:type="dxa"/>
            <w:tcBorders>
              <w:top w:val="single" w:sz="4" w:space="0" w:color="auto"/>
              <w:left w:val="single" w:sz="4" w:space="0" w:color="auto"/>
              <w:bottom w:val="nil"/>
              <w:right w:val="single" w:sz="4" w:space="0" w:color="auto"/>
            </w:tcBorders>
            <w:vAlign w:val="center"/>
          </w:tcPr>
          <w:p w:rsidR="00E2507D" w:rsidRPr="00D832E7" w:rsidP="00E2507D">
            <w:pPr>
              <w:autoSpaceDE/>
              <w:autoSpaceDN/>
              <w:adjustRightInd/>
              <w:spacing w:after="0"/>
              <w:jc w:val="right"/>
              <w:rPr>
                <w:rFonts w:cs="Arial"/>
              </w:rPr>
            </w:pPr>
            <w:r w:rsidRPr="00D832E7">
              <w:rPr>
                <w:rFonts w:cs="Arial"/>
              </w:rPr>
              <w:t>-28.04%</w:t>
            </w:r>
          </w:p>
        </w:tc>
        <w:tc>
          <w:tcPr>
            <w:tcW w:w="1217" w:type="dxa"/>
            <w:tcBorders>
              <w:top w:val="single" w:sz="4" w:space="0" w:color="auto"/>
              <w:left w:val="single" w:sz="4" w:space="0" w:color="auto"/>
              <w:bottom w:val="nil"/>
              <w:right w:val="single" w:sz="4" w:space="0" w:color="auto"/>
            </w:tcBorders>
            <w:shd w:val="clear" w:color="auto" w:fill="auto"/>
            <w:vAlign w:val="center"/>
          </w:tcPr>
          <w:p w:rsidR="00E2507D" w:rsidRPr="00D832E7" w:rsidP="00E2507D">
            <w:pPr>
              <w:autoSpaceDE/>
              <w:autoSpaceDN/>
              <w:adjustRightInd/>
              <w:spacing w:after="0"/>
              <w:jc w:val="right"/>
              <w:rPr>
                <w:rFonts w:cs="Arial"/>
              </w:rPr>
            </w:pPr>
            <w:r w:rsidRPr="00D832E7">
              <w:rPr>
                <w:rFonts w:cs="Arial"/>
              </w:rPr>
              <w:t>-2.976</w:t>
            </w:r>
          </w:p>
        </w:tc>
      </w:tr>
      <w:tr w:rsidTr="00E2507D">
        <w:tblPrEx>
          <w:tblW w:w="8947" w:type="dxa"/>
          <w:tblLook w:val="04A0"/>
        </w:tblPrEx>
        <w:trPr>
          <w:trHeight w:val="627"/>
        </w:trPr>
        <w:tc>
          <w:tcPr>
            <w:tcW w:w="884" w:type="dxa"/>
            <w:tcBorders>
              <w:top w:val="nil"/>
              <w:left w:val="single" w:sz="4" w:space="0" w:color="auto"/>
              <w:bottom w:val="single" w:sz="4" w:space="0" w:color="auto"/>
              <w:right w:val="single" w:sz="4" w:space="0" w:color="auto"/>
            </w:tcBorders>
            <w:shd w:val="clear" w:color="auto" w:fill="auto"/>
            <w:vAlign w:val="center"/>
          </w:tcPr>
          <w:p w:rsidR="00E2507D" w:rsidRPr="001301AB" w:rsidP="00E2507D">
            <w:pPr>
              <w:autoSpaceDE/>
              <w:autoSpaceDN/>
              <w:adjustRightInd/>
              <w:spacing w:after="0"/>
              <w:jc w:val="center"/>
              <w:rPr>
                <w:rFonts w:eastAsia="Times New Roman" w:cs="Arial"/>
                <w:b/>
                <w:bCs/>
                <w:lang w:eastAsia="en-GB"/>
              </w:rPr>
            </w:pPr>
            <w:r w:rsidRPr="001301AB">
              <w:rPr>
                <w:rFonts w:eastAsia="Times New Roman" w:cs="Arial"/>
                <w:b/>
                <w:bCs/>
                <w:lang w:eastAsia="en-GB"/>
              </w:rPr>
              <w:t>3.4.5</w:t>
            </w:r>
          </w:p>
        </w:tc>
        <w:tc>
          <w:tcPr>
            <w:tcW w:w="1979" w:type="dxa"/>
            <w:tcBorders>
              <w:top w:val="nil"/>
              <w:left w:val="nil"/>
              <w:bottom w:val="single" w:sz="4" w:space="0" w:color="auto"/>
              <w:right w:val="single" w:sz="4" w:space="0" w:color="auto"/>
            </w:tcBorders>
            <w:shd w:val="clear" w:color="auto" w:fill="auto"/>
            <w:vAlign w:val="center"/>
          </w:tcPr>
          <w:p w:rsidR="00E2507D" w:rsidRPr="00E91094" w:rsidP="00E2507D">
            <w:pPr>
              <w:autoSpaceDE/>
              <w:autoSpaceDN/>
              <w:adjustRightInd/>
              <w:spacing w:after="0"/>
              <w:jc w:val="left"/>
              <w:rPr>
                <w:rFonts w:eastAsia="Times New Roman" w:cs="Arial"/>
                <w:highlight w:val="yellow"/>
                <w:lang w:eastAsia="en-GB"/>
              </w:rPr>
            </w:pPr>
            <w:r w:rsidRPr="00E91094">
              <w:rPr>
                <w:rFonts w:eastAsia="Times New Roman" w:cs="Arial"/>
                <w:bCs/>
                <w:lang w:eastAsia="en-GB"/>
              </w:rPr>
              <w:t>Education Improvement 0 - 11 Years</w:t>
            </w:r>
          </w:p>
        </w:tc>
        <w:tc>
          <w:tcPr>
            <w:tcW w:w="1337" w:type="dxa"/>
            <w:tcBorders>
              <w:top w:val="single" w:sz="4" w:space="0" w:color="auto"/>
              <w:left w:val="single" w:sz="4" w:space="0" w:color="auto"/>
              <w:bottom w:val="nil"/>
              <w:right w:val="single" w:sz="4" w:space="0" w:color="auto"/>
            </w:tcBorders>
            <w:shd w:val="clear" w:color="auto" w:fill="auto"/>
            <w:vAlign w:val="center"/>
          </w:tcPr>
          <w:p w:rsidR="00E2507D" w:rsidRPr="00E07F4C" w:rsidP="00E2507D">
            <w:pPr>
              <w:autoSpaceDE/>
              <w:autoSpaceDN/>
              <w:adjustRightInd/>
              <w:spacing w:after="0"/>
              <w:jc w:val="right"/>
              <w:rPr>
                <w:rFonts w:eastAsia="Times New Roman" w:cs="Arial"/>
                <w:lang w:eastAsia="en-GB"/>
              </w:rPr>
            </w:pPr>
            <w:r w:rsidRPr="00E07F4C">
              <w:rPr>
                <w:rFonts w:eastAsia="Times New Roman" w:cs="Arial"/>
                <w:lang w:eastAsia="en-GB"/>
              </w:rPr>
              <w:t>2.666</w:t>
            </w:r>
          </w:p>
        </w:tc>
        <w:tc>
          <w:tcPr>
            <w:tcW w:w="1096" w:type="dxa"/>
            <w:tcBorders>
              <w:top w:val="single" w:sz="4" w:space="0" w:color="auto"/>
              <w:left w:val="nil"/>
              <w:bottom w:val="nil"/>
              <w:right w:val="single" w:sz="4" w:space="0" w:color="auto"/>
            </w:tcBorders>
            <w:shd w:val="clear" w:color="auto" w:fill="auto"/>
            <w:vAlign w:val="center"/>
          </w:tcPr>
          <w:p w:rsidR="00E2507D" w:rsidRPr="00E07F4C" w:rsidP="00E2507D">
            <w:pPr>
              <w:autoSpaceDE/>
              <w:autoSpaceDN/>
              <w:adjustRightInd/>
              <w:spacing w:after="0"/>
              <w:jc w:val="right"/>
              <w:rPr>
                <w:rFonts w:eastAsia="Times New Roman" w:cs="Arial"/>
                <w:lang w:eastAsia="en-GB"/>
              </w:rPr>
            </w:pPr>
            <w:r w:rsidRPr="00E07F4C">
              <w:rPr>
                <w:rFonts w:cs="Arial"/>
              </w:rPr>
              <w:t>3.020</w:t>
            </w:r>
          </w:p>
        </w:tc>
        <w:tc>
          <w:tcPr>
            <w:tcW w:w="1217" w:type="dxa"/>
            <w:tcBorders>
              <w:top w:val="single" w:sz="4" w:space="0" w:color="auto"/>
              <w:left w:val="nil"/>
              <w:bottom w:val="nil"/>
              <w:right w:val="single" w:sz="4" w:space="0" w:color="auto"/>
            </w:tcBorders>
            <w:shd w:val="clear" w:color="000000" w:fill="D9D9D9"/>
            <w:vAlign w:val="center"/>
          </w:tcPr>
          <w:p w:rsidR="00E2507D" w:rsidRPr="00E07F4C" w:rsidP="00E2507D">
            <w:pPr>
              <w:autoSpaceDE/>
              <w:autoSpaceDN/>
              <w:adjustRightInd/>
              <w:spacing w:after="0"/>
              <w:jc w:val="right"/>
              <w:rPr>
                <w:rFonts w:eastAsia="Times New Roman" w:cs="Arial"/>
                <w:lang w:eastAsia="en-GB"/>
              </w:rPr>
            </w:pPr>
            <w:r w:rsidRPr="00E07F4C">
              <w:rPr>
                <w:rFonts w:cs="Arial"/>
              </w:rPr>
              <w:t>0.354</w:t>
            </w:r>
          </w:p>
        </w:tc>
        <w:tc>
          <w:tcPr>
            <w:tcW w:w="1217" w:type="dxa"/>
            <w:tcBorders>
              <w:top w:val="single" w:sz="4" w:space="0" w:color="auto"/>
              <w:left w:val="single" w:sz="4" w:space="0" w:color="auto"/>
              <w:bottom w:val="nil"/>
              <w:right w:val="single" w:sz="4" w:space="0" w:color="auto"/>
            </w:tcBorders>
            <w:vAlign w:val="center"/>
          </w:tcPr>
          <w:p w:rsidR="00E2507D" w:rsidRPr="00D832E7" w:rsidP="00E2507D">
            <w:pPr>
              <w:autoSpaceDE/>
              <w:autoSpaceDN/>
              <w:adjustRightInd/>
              <w:spacing w:after="0"/>
              <w:jc w:val="right"/>
              <w:rPr>
                <w:rFonts w:cs="Arial"/>
              </w:rPr>
            </w:pPr>
            <w:r w:rsidRPr="00D832E7">
              <w:rPr>
                <w:rFonts w:cs="Arial"/>
              </w:rPr>
              <w:t>13.28%</w:t>
            </w:r>
          </w:p>
        </w:tc>
        <w:tc>
          <w:tcPr>
            <w:tcW w:w="1217" w:type="dxa"/>
            <w:tcBorders>
              <w:top w:val="single" w:sz="4" w:space="0" w:color="auto"/>
              <w:left w:val="single" w:sz="4" w:space="0" w:color="auto"/>
              <w:bottom w:val="nil"/>
              <w:right w:val="single" w:sz="4" w:space="0" w:color="auto"/>
            </w:tcBorders>
            <w:shd w:val="clear" w:color="auto" w:fill="auto"/>
            <w:vAlign w:val="center"/>
          </w:tcPr>
          <w:p w:rsidR="00E2507D" w:rsidRPr="00D832E7" w:rsidP="00E2507D">
            <w:pPr>
              <w:autoSpaceDE/>
              <w:autoSpaceDN/>
              <w:adjustRightInd/>
              <w:spacing w:after="0"/>
              <w:jc w:val="right"/>
              <w:rPr>
                <w:rFonts w:eastAsia="Times New Roman" w:cs="Arial"/>
                <w:lang w:eastAsia="en-GB"/>
              </w:rPr>
            </w:pPr>
            <w:r w:rsidRPr="00D832E7">
              <w:rPr>
                <w:rFonts w:cs="Arial"/>
              </w:rPr>
              <w:t>0.700</w:t>
            </w:r>
          </w:p>
        </w:tc>
      </w:tr>
      <w:tr w:rsidTr="00E2507D">
        <w:tblPrEx>
          <w:tblW w:w="8947" w:type="dxa"/>
          <w:tblLook w:val="04A0"/>
        </w:tblPrEx>
        <w:trPr>
          <w:trHeight w:val="627"/>
        </w:trPr>
        <w:tc>
          <w:tcPr>
            <w:tcW w:w="884" w:type="dxa"/>
            <w:tcBorders>
              <w:top w:val="nil"/>
              <w:left w:val="single" w:sz="4" w:space="0" w:color="auto"/>
              <w:bottom w:val="single" w:sz="4" w:space="0" w:color="auto"/>
              <w:right w:val="single" w:sz="4" w:space="0" w:color="auto"/>
            </w:tcBorders>
            <w:shd w:val="clear" w:color="auto" w:fill="auto"/>
            <w:vAlign w:val="center"/>
          </w:tcPr>
          <w:p w:rsidR="00E2507D" w:rsidRPr="001301AB" w:rsidP="00E2507D">
            <w:pPr>
              <w:autoSpaceDE/>
              <w:autoSpaceDN/>
              <w:adjustRightInd/>
              <w:spacing w:after="0"/>
              <w:jc w:val="center"/>
              <w:rPr>
                <w:rFonts w:eastAsia="Times New Roman" w:cs="Arial"/>
                <w:b/>
                <w:bCs/>
                <w:lang w:eastAsia="en-GB"/>
              </w:rPr>
            </w:pPr>
            <w:r w:rsidRPr="001301AB">
              <w:rPr>
                <w:rFonts w:eastAsia="Times New Roman" w:cs="Arial"/>
                <w:b/>
                <w:bCs/>
                <w:lang w:eastAsia="en-GB"/>
              </w:rPr>
              <w:t>3.4.6</w:t>
            </w:r>
          </w:p>
        </w:tc>
        <w:tc>
          <w:tcPr>
            <w:tcW w:w="1979" w:type="dxa"/>
            <w:tcBorders>
              <w:top w:val="nil"/>
              <w:left w:val="nil"/>
              <w:bottom w:val="single" w:sz="4" w:space="0" w:color="auto"/>
              <w:right w:val="single" w:sz="4" w:space="0" w:color="auto"/>
            </w:tcBorders>
            <w:shd w:val="clear" w:color="auto" w:fill="auto"/>
            <w:vAlign w:val="center"/>
          </w:tcPr>
          <w:p w:rsidR="00E2507D" w:rsidRPr="00E91094" w:rsidP="00E2507D">
            <w:pPr>
              <w:autoSpaceDE/>
              <w:autoSpaceDN/>
              <w:adjustRightInd/>
              <w:spacing w:after="0"/>
              <w:jc w:val="left"/>
              <w:rPr>
                <w:rFonts w:eastAsia="Times New Roman" w:cs="Arial"/>
                <w:highlight w:val="yellow"/>
                <w:lang w:eastAsia="en-GB"/>
              </w:rPr>
            </w:pPr>
            <w:r w:rsidRPr="00E91094">
              <w:rPr>
                <w:rFonts w:eastAsia="Times New Roman" w:cs="Arial"/>
                <w:bCs/>
                <w:lang w:eastAsia="en-GB"/>
              </w:rPr>
              <w:t>Education Improvement 11+ - 25 Years</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2507D" w:rsidRPr="00E07F4C" w:rsidP="00E2507D">
            <w:pPr>
              <w:autoSpaceDE/>
              <w:autoSpaceDN/>
              <w:adjustRightInd/>
              <w:spacing w:after="0"/>
              <w:jc w:val="right"/>
              <w:rPr>
                <w:rFonts w:eastAsia="Times New Roman" w:cs="Arial"/>
                <w:lang w:eastAsia="en-GB"/>
              </w:rPr>
            </w:pPr>
            <w:r w:rsidRPr="00E07F4C">
              <w:rPr>
                <w:rFonts w:eastAsia="Times New Roman" w:cs="Arial"/>
                <w:lang w:eastAsia="en-GB"/>
              </w:rPr>
              <w:t>2.861</w:t>
            </w:r>
          </w:p>
        </w:tc>
        <w:tc>
          <w:tcPr>
            <w:tcW w:w="1096" w:type="dxa"/>
            <w:tcBorders>
              <w:top w:val="single" w:sz="4" w:space="0" w:color="auto"/>
              <w:left w:val="nil"/>
              <w:bottom w:val="single" w:sz="4" w:space="0" w:color="auto"/>
              <w:right w:val="single" w:sz="4" w:space="0" w:color="auto"/>
            </w:tcBorders>
            <w:shd w:val="clear" w:color="auto" w:fill="auto"/>
            <w:vAlign w:val="center"/>
          </w:tcPr>
          <w:p w:rsidR="00E2507D" w:rsidRPr="00E07F4C" w:rsidP="00E2507D">
            <w:pPr>
              <w:autoSpaceDE/>
              <w:autoSpaceDN/>
              <w:adjustRightInd/>
              <w:spacing w:after="0"/>
              <w:jc w:val="right"/>
              <w:rPr>
                <w:rFonts w:eastAsia="Times New Roman" w:cs="Arial"/>
                <w:lang w:eastAsia="en-GB"/>
              </w:rPr>
            </w:pPr>
            <w:r w:rsidRPr="00E07F4C">
              <w:rPr>
                <w:rFonts w:cs="Arial"/>
              </w:rPr>
              <w:t>2.992</w:t>
            </w:r>
          </w:p>
        </w:tc>
        <w:tc>
          <w:tcPr>
            <w:tcW w:w="1217" w:type="dxa"/>
            <w:tcBorders>
              <w:top w:val="single" w:sz="4" w:space="0" w:color="auto"/>
              <w:left w:val="nil"/>
              <w:bottom w:val="single" w:sz="4" w:space="0" w:color="auto"/>
              <w:right w:val="single" w:sz="4" w:space="0" w:color="auto"/>
            </w:tcBorders>
            <w:shd w:val="clear" w:color="000000" w:fill="D9D9D9"/>
            <w:vAlign w:val="center"/>
          </w:tcPr>
          <w:p w:rsidR="00E2507D" w:rsidRPr="00E07F4C" w:rsidP="00E2507D">
            <w:pPr>
              <w:autoSpaceDE/>
              <w:autoSpaceDN/>
              <w:adjustRightInd/>
              <w:spacing w:after="0"/>
              <w:jc w:val="right"/>
              <w:rPr>
                <w:rFonts w:eastAsia="Times New Roman" w:cs="Arial"/>
                <w:lang w:eastAsia="en-GB"/>
              </w:rPr>
            </w:pPr>
            <w:r w:rsidRPr="00E07F4C">
              <w:rPr>
                <w:rFonts w:cs="Arial"/>
              </w:rPr>
              <w:t>0.131</w:t>
            </w:r>
          </w:p>
        </w:tc>
        <w:tc>
          <w:tcPr>
            <w:tcW w:w="1217" w:type="dxa"/>
            <w:tcBorders>
              <w:top w:val="single" w:sz="4" w:space="0" w:color="auto"/>
              <w:left w:val="single" w:sz="4" w:space="0" w:color="auto"/>
              <w:bottom w:val="single" w:sz="4" w:space="0" w:color="auto"/>
              <w:right w:val="single" w:sz="4" w:space="0" w:color="auto"/>
            </w:tcBorders>
            <w:vAlign w:val="center"/>
          </w:tcPr>
          <w:p w:rsidR="00E2507D" w:rsidRPr="00D832E7" w:rsidP="00E2507D">
            <w:pPr>
              <w:autoSpaceDE/>
              <w:autoSpaceDN/>
              <w:adjustRightInd/>
              <w:spacing w:after="0"/>
              <w:jc w:val="right"/>
              <w:rPr>
                <w:rFonts w:cs="Arial"/>
              </w:rPr>
            </w:pPr>
            <w:r w:rsidRPr="00D832E7">
              <w:rPr>
                <w:rFonts w:cs="Arial"/>
              </w:rPr>
              <w:t>4.58%</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E2507D" w:rsidRPr="00D832E7" w:rsidP="00E2507D">
            <w:pPr>
              <w:autoSpaceDE/>
              <w:autoSpaceDN/>
              <w:adjustRightInd/>
              <w:spacing w:after="0"/>
              <w:jc w:val="right"/>
              <w:rPr>
                <w:rFonts w:eastAsia="Times New Roman" w:cs="Arial"/>
                <w:lang w:eastAsia="en-GB"/>
              </w:rPr>
            </w:pPr>
            <w:r w:rsidRPr="00D832E7">
              <w:rPr>
                <w:rFonts w:cs="Arial"/>
              </w:rPr>
              <w:t>-0.475</w:t>
            </w:r>
          </w:p>
        </w:tc>
      </w:tr>
      <w:tr w:rsidTr="00E2507D">
        <w:tblPrEx>
          <w:tblW w:w="8947" w:type="dxa"/>
          <w:tblLook w:val="04A0"/>
        </w:tblPrEx>
        <w:trPr>
          <w:trHeight w:val="627"/>
        </w:trPr>
        <w:tc>
          <w:tcPr>
            <w:tcW w:w="884" w:type="dxa"/>
            <w:tcBorders>
              <w:top w:val="nil"/>
              <w:left w:val="single" w:sz="4" w:space="0" w:color="auto"/>
              <w:bottom w:val="single" w:sz="4" w:space="0" w:color="auto"/>
              <w:right w:val="single" w:sz="4" w:space="0" w:color="auto"/>
            </w:tcBorders>
            <w:shd w:val="clear" w:color="000000" w:fill="FFFFFF"/>
            <w:vAlign w:val="center"/>
          </w:tcPr>
          <w:p w:rsidR="00E2507D" w:rsidRPr="001301AB" w:rsidP="00E2507D">
            <w:pPr>
              <w:autoSpaceDE/>
              <w:autoSpaceDN/>
              <w:adjustRightInd/>
              <w:spacing w:after="0"/>
              <w:jc w:val="center"/>
              <w:rPr>
                <w:rFonts w:eastAsia="Times New Roman" w:cs="Arial"/>
                <w:b/>
                <w:bCs/>
                <w:lang w:eastAsia="en-GB"/>
              </w:rPr>
            </w:pPr>
            <w:r w:rsidRPr="001301AB">
              <w:rPr>
                <w:rFonts w:eastAsia="Times New Roman" w:cs="Arial"/>
                <w:b/>
                <w:bCs/>
                <w:color w:val="auto"/>
                <w:lang w:eastAsia="en-GB"/>
              </w:rPr>
              <w:t>3.4.7</w:t>
            </w:r>
          </w:p>
        </w:tc>
        <w:tc>
          <w:tcPr>
            <w:tcW w:w="1979" w:type="dxa"/>
            <w:tcBorders>
              <w:top w:val="nil"/>
              <w:left w:val="nil"/>
              <w:bottom w:val="single" w:sz="4" w:space="0" w:color="auto"/>
              <w:right w:val="single" w:sz="4" w:space="0" w:color="auto"/>
            </w:tcBorders>
            <w:shd w:val="clear" w:color="000000" w:fill="FFFFFF"/>
            <w:vAlign w:val="center"/>
          </w:tcPr>
          <w:p w:rsidR="00E2507D" w:rsidRPr="00E91094" w:rsidP="00E2507D">
            <w:pPr>
              <w:autoSpaceDE/>
              <w:autoSpaceDN/>
              <w:adjustRightInd/>
              <w:spacing w:after="0"/>
              <w:jc w:val="left"/>
              <w:rPr>
                <w:rFonts w:eastAsia="Times New Roman" w:cs="Arial"/>
                <w:highlight w:val="yellow"/>
                <w:lang w:eastAsia="en-GB"/>
              </w:rPr>
            </w:pPr>
            <w:r w:rsidRPr="00E91094">
              <w:rPr>
                <w:rFonts w:eastAsia="Times New Roman" w:cs="Arial"/>
                <w:bCs/>
                <w:lang w:eastAsia="en-GB"/>
              </w:rPr>
              <w:t>Inclusion</w:t>
            </w:r>
          </w:p>
        </w:tc>
        <w:tc>
          <w:tcPr>
            <w:tcW w:w="1337" w:type="dxa"/>
            <w:tcBorders>
              <w:top w:val="nil"/>
              <w:left w:val="single" w:sz="4" w:space="0" w:color="auto"/>
              <w:bottom w:val="single" w:sz="4" w:space="0" w:color="auto"/>
              <w:right w:val="single" w:sz="4" w:space="0" w:color="auto"/>
            </w:tcBorders>
            <w:shd w:val="clear" w:color="auto" w:fill="auto"/>
            <w:vAlign w:val="center"/>
          </w:tcPr>
          <w:p w:rsidR="00E2507D" w:rsidRPr="001301AB" w:rsidP="00E2507D">
            <w:pPr>
              <w:autoSpaceDE/>
              <w:autoSpaceDN/>
              <w:adjustRightInd/>
              <w:spacing w:after="0"/>
              <w:jc w:val="right"/>
              <w:rPr>
                <w:rFonts w:eastAsia="Times New Roman" w:cs="Arial"/>
                <w:highlight w:val="yellow"/>
                <w:lang w:eastAsia="en-GB"/>
              </w:rPr>
            </w:pPr>
            <w:r w:rsidRPr="001301AB">
              <w:rPr>
                <w:rFonts w:eastAsia="Times New Roman" w:cs="Arial"/>
                <w:lang w:eastAsia="en-GB"/>
              </w:rPr>
              <w:t>16.693</w:t>
            </w:r>
          </w:p>
        </w:tc>
        <w:tc>
          <w:tcPr>
            <w:tcW w:w="1096" w:type="dxa"/>
            <w:tcBorders>
              <w:top w:val="nil"/>
              <w:left w:val="nil"/>
              <w:bottom w:val="single" w:sz="4" w:space="0" w:color="auto"/>
              <w:right w:val="single" w:sz="4" w:space="0" w:color="auto"/>
            </w:tcBorders>
            <w:shd w:val="clear" w:color="auto" w:fill="auto"/>
            <w:vAlign w:val="center"/>
          </w:tcPr>
          <w:p w:rsidR="00E2507D" w:rsidRPr="00E07F4C" w:rsidP="00E2507D">
            <w:pPr>
              <w:autoSpaceDE/>
              <w:autoSpaceDN/>
              <w:adjustRightInd/>
              <w:spacing w:after="0"/>
              <w:jc w:val="right"/>
              <w:rPr>
                <w:rFonts w:eastAsia="Times New Roman" w:cs="Arial"/>
                <w:lang w:eastAsia="en-GB"/>
              </w:rPr>
            </w:pPr>
            <w:r w:rsidRPr="00E07F4C">
              <w:rPr>
                <w:rFonts w:cs="Arial"/>
              </w:rPr>
              <w:t>19.314</w:t>
            </w:r>
          </w:p>
        </w:tc>
        <w:tc>
          <w:tcPr>
            <w:tcW w:w="1217" w:type="dxa"/>
            <w:tcBorders>
              <w:top w:val="nil"/>
              <w:left w:val="nil"/>
              <w:bottom w:val="single" w:sz="4" w:space="0" w:color="auto"/>
              <w:right w:val="single" w:sz="4" w:space="0" w:color="auto"/>
            </w:tcBorders>
            <w:shd w:val="clear" w:color="000000" w:fill="D9D9D9"/>
            <w:vAlign w:val="center"/>
          </w:tcPr>
          <w:p w:rsidR="00E2507D" w:rsidRPr="00E07F4C" w:rsidP="00E2507D">
            <w:pPr>
              <w:autoSpaceDE/>
              <w:autoSpaceDN/>
              <w:adjustRightInd/>
              <w:spacing w:after="0"/>
              <w:jc w:val="right"/>
              <w:rPr>
                <w:rFonts w:eastAsia="Times New Roman" w:cs="Arial"/>
                <w:lang w:eastAsia="en-GB"/>
              </w:rPr>
            </w:pPr>
            <w:r w:rsidRPr="00E07F4C">
              <w:rPr>
                <w:rFonts w:cs="Arial"/>
              </w:rPr>
              <w:t>2.621</w:t>
            </w:r>
          </w:p>
        </w:tc>
        <w:tc>
          <w:tcPr>
            <w:tcW w:w="1217" w:type="dxa"/>
            <w:tcBorders>
              <w:top w:val="nil"/>
              <w:left w:val="single" w:sz="4" w:space="0" w:color="auto"/>
              <w:bottom w:val="single" w:sz="4" w:space="0" w:color="auto"/>
              <w:right w:val="single" w:sz="4" w:space="0" w:color="auto"/>
            </w:tcBorders>
            <w:vAlign w:val="center"/>
          </w:tcPr>
          <w:p w:rsidR="00E2507D" w:rsidRPr="00D832E7" w:rsidP="00E2507D">
            <w:pPr>
              <w:autoSpaceDE/>
              <w:autoSpaceDN/>
              <w:adjustRightInd/>
              <w:spacing w:after="0"/>
              <w:jc w:val="right"/>
              <w:rPr>
                <w:rFonts w:cs="Arial"/>
              </w:rPr>
            </w:pPr>
            <w:r w:rsidRPr="00D832E7">
              <w:rPr>
                <w:rFonts w:cs="Arial"/>
              </w:rPr>
              <w:t>15.70%</w:t>
            </w:r>
          </w:p>
        </w:tc>
        <w:tc>
          <w:tcPr>
            <w:tcW w:w="1217" w:type="dxa"/>
            <w:tcBorders>
              <w:top w:val="nil"/>
              <w:left w:val="single" w:sz="4" w:space="0" w:color="auto"/>
              <w:bottom w:val="single" w:sz="4" w:space="0" w:color="auto"/>
              <w:right w:val="single" w:sz="4" w:space="0" w:color="auto"/>
            </w:tcBorders>
            <w:shd w:val="clear" w:color="auto" w:fill="auto"/>
            <w:vAlign w:val="center"/>
          </w:tcPr>
          <w:p w:rsidR="00E2507D" w:rsidRPr="00D832E7" w:rsidP="00E2507D">
            <w:pPr>
              <w:autoSpaceDE/>
              <w:autoSpaceDN/>
              <w:adjustRightInd/>
              <w:spacing w:after="0"/>
              <w:jc w:val="right"/>
              <w:rPr>
                <w:rFonts w:eastAsia="Times New Roman" w:cs="Arial"/>
                <w:lang w:eastAsia="en-GB"/>
              </w:rPr>
            </w:pPr>
            <w:r w:rsidRPr="00D832E7">
              <w:rPr>
                <w:rFonts w:cs="Arial"/>
              </w:rPr>
              <w:t>2.180</w:t>
            </w:r>
          </w:p>
        </w:tc>
      </w:tr>
      <w:tr w:rsidTr="00E2507D">
        <w:tblPrEx>
          <w:tblW w:w="8947" w:type="dxa"/>
          <w:tblLook w:val="04A0"/>
        </w:tblPrEx>
        <w:trPr>
          <w:trHeight w:val="627"/>
        </w:trPr>
        <w:tc>
          <w:tcPr>
            <w:tcW w:w="884" w:type="dxa"/>
            <w:tcBorders>
              <w:top w:val="nil"/>
              <w:left w:val="single" w:sz="4" w:space="0" w:color="auto"/>
              <w:bottom w:val="single" w:sz="4" w:space="0" w:color="auto"/>
              <w:right w:val="single" w:sz="4" w:space="0" w:color="auto"/>
            </w:tcBorders>
            <w:shd w:val="clear" w:color="000000" w:fill="FFFFFF"/>
            <w:vAlign w:val="center"/>
          </w:tcPr>
          <w:p w:rsidR="00E2507D" w:rsidRPr="001301AB" w:rsidP="00E2507D">
            <w:pPr>
              <w:autoSpaceDE/>
              <w:autoSpaceDN/>
              <w:adjustRightInd/>
              <w:spacing w:after="0"/>
              <w:jc w:val="center"/>
              <w:rPr>
                <w:rFonts w:eastAsia="Times New Roman" w:cs="Arial"/>
                <w:b/>
                <w:bCs/>
                <w:color w:val="auto"/>
                <w:lang w:eastAsia="en-GB"/>
              </w:rPr>
            </w:pPr>
            <w:r w:rsidRPr="001301AB">
              <w:rPr>
                <w:rFonts w:eastAsia="Times New Roman" w:cs="Arial"/>
                <w:b/>
                <w:bCs/>
                <w:lang w:eastAsia="en-GB"/>
              </w:rPr>
              <w:t>3.4.8</w:t>
            </w:r>
          </w:p>
        </w:tc>
        <w:tc>
          <w:tcPr>
            <w:tcW w:w="1979" w:type="dxa"/>
            <w:tcBorders>
              <w:top w:val="nil"/>
              <w:left w:val="nil"/>
              <w:bottom w:val="single" w:sz="4" w:space="0" w:color="auto"/>
              <w:right w:val="single" w:sz="4" w:space="0" w:color="auto"/>
            </w:tcBorders>
            <w:shd w:val="clear" w:color="auto" w:fill="auto"/>
            <w:vAlign w:val="center"/>
          </w:tcPr>
          <w:p w:rsidR="00E2507D" w:rsidRPr="00E91094" w:rsidP="00E2507D">
            <w:pPr>
              <w:autoSpaceDE/>
              <w:autoSpaceDN/>
              <w:adjustRightInd/>
              <w:spacing w:after="0"/>
              <w:jc w:val="left"/>
              <w:rPr>
                <w:rFonts w:eastAsia="Times New Roman" w:cs="Arial"/>
                <w:color w:val="auto"/>
                <w:highlight w:val="yellow"/>
                <w:lang w:eastAsia="en-GB"/>
              </w:rPr>
            </w:pPr>
            <w:r w:rsidRPr="00E91094">
              <w:rPr>
                <w:rFonts w:eastAsia="Times New Roman" w:cs="Arial"/>
                <w:bCs/>
                <w:lang w:eastAsia="en-GB"/>
              </w:rPr>
              <w:t>Libraries Museums Culture &amp; Archives</w:t>
            </w:r>
          </w:p>
        </w:tc>
        <w:tc>
          <w:tcPr>
            <w:tcW w:w="1337" w:type="dxa"/>
            <w:tcBorders>
              <w:top w:val="nil"/>
              <w:left w:val="single" w:sz="4" w:space="0" w:color="auto"/>
              <w:bottom w:val="single" w:sz="4" w:space="0" w:color="auto"/>
              <w:right w:val="single" w:sz="4" w:space="0" w:color="auto"/>
            </w:tcBorders>
            <w:shd w:val="clear" w:color="auto" w:fill="auto"/>
            <w:vAlign w:val="center"/>
          </w:tcPr>
          <w:p w:rsidR="00E2507D" w:rsidRPr="001301AB" w:rsidP="00E2507D">
            <w:pPr>
              <w:autoSpaceDE/>
              <w:autoSpaceDN/>
              <w:adjustRightInd/>
              <w:spacing w:after="0"/>
              <w:jc w:val="right"/>
              <w:rPr>
                <w:rFonts w:eastAsia="Times New Roman" w:cs="Arial"/>
                <w:color w:val="auto"/>
                <w:highlight w:val="yellow"/>
                <w:lang w:eastAsia="en-GB"/>
              </w:rPr>
            </w:pPr>
            <w:r w:rsidRPr="001301AB">
              <w:rPr>
                <w:rFonts w:eastAsia="Times New Roman" w:cs="Arial"/>
                <w:lang w:eastAsia="en-GB"/>
              </w:rPr>
              <w:t>8.789</w:t>
            </w:r>
          </w:p>
        </w:tc>
        <w:tc>
          <w:tcPr>
            <w:tcW w:w="1096" w:type="dxa"/>
            <w:tcBorders>
              <w:top w:val="nil"/>
              <w:left w:val="nil"/>
              <w:bottom w:val="single" w:sz="4" w:space="0" w:color="auto"/>
              <w:right w:val="single" w:sz="4" w:space="0" w:color="auto"/>
            </w:tcBorders>
            <w:shd w:val="clear" w:color="auto" w:fill="auto"/>
            <w:vAlign w:val="center"/>
          </w:tcPr>
          <w:p w:rsidR="00E2507D" w:rsidRPr="00E07F4C" w:rsidP="00E2507D">
            <w:pPr>
              <w:autoSpaceDE/>
              <w:autoSpaceDN/>
              <w:adjustRightInd/>
              <w:spacing w:after="0"/>
              <w:jc w:val="right"/>
              <w:rPr>
                <w:rFonts w:eastAsia="Times New Roman" w:cs="Arial"/>
                <w:color w:val="auto"/>
                <w:lang w:eastAsia="en-GB"/>
              </w:rPr>
            </w:pPr>
            <w:r w:rsidRPr="00E07F4C">
              <w:rPr>
                <w:rFonts w:cs="Arial"/>
              </w:rPr>
              <w:t>8.268</w:t>
            </w:r>
          </w:p>
        </w:tc>
        <w:tc>
          <w:tcPr>
            <w:tcW w:w="1217" w:type="dxa"/>
            <w:tcBorders>
              <w:top w:val="nil"/>
              <w:left w:val="nil"/>
              <w:bottom w:val="single" w:sz="4" w:space="0" w:color="auto"/>
              <w:right w:val="single" w:sz="4" w:space="0" w:color="auto"/>
            </w:tcBorders>
            <w:shd w:val="clear" w:color="000000" w:fill="D9D9D9"/>
            <w:vAlign w:val="center"/>
          </w:tcPr>
          <w:p w:rsidR="00E2507D" w:rsidRPr="00E07F4C" w:rsidP="00E2507D">
            <w:pPr>
              <w:autoSpaceDE/>
              <w:autoSpaceDN/>
              <w:adjustRightInd/>
              <w:spacing w:after="0"/>
              <w:jc w:val="right"/>
              <w:rPr>
                <w:rFonts w:eastAsia="Times New Roman" w:cs="Arial"/>
                <w:color w:val="auto"/>
                <w:lang w:eastAsia="en-GB"/>
              </w:rPr>
            </w:pPr>
            <w:r w:rsidRPr="00E07F4C">
              <w:rPr>
                <w:rFonts w:cs="Arial"/>
              </w:rPr>
              <w:t>-0.521</w:t>
            </w:r>
          </w:p>
        </w:tc>
        <w:tc>
          <w:tcPr>
            <w:tcW w:w="1217" w:type="dxa"/>
            <w:tcBorders>
              <w:top w:val="nil"/>
              <w:left w:val="single" w:sz="4" w:space="0" w:color="auto"/>
              <w:bottom w:val="single" w:sz="4" w:space="0" w:color="auto"/>
              <w:right w:val="single" w:sz="4" w:space="0" w:color="auto"/>
            </w:tcBorders>
            <w:vAlign w:val="center"/>
          </w:tcPr>
          <w:p w:rsidR="00E2507D" w:rsidRPr="00D832E7" w:rsidP="00E2507D">
            <w:pPr>
              <w:autoSpaceDE/>
              <w:autoSpaceDN/>
              <w:adjustRightInd/>
              <w:spacing w:after="0"/>
              <w:jc w:val="right"/>
              <w:rPr>
                <w:rFonts w:cs="Arial"/>
              </w:rPr>
            </w:pPr>
            <w:r w:rsidRPr="00D832E7">
              <w:rPr>
                <w:rFonts w:cs="Arial"/>
              </w:rPr>
              <w:t>-5.93%</w:t>
            </w:r>
          </w:p>
        </w:tc>
        <w:tc>
          <w:tcPr>
            <w:tcW w:w="1217" w:type="dxa"/>
            <w:tcBorders>
              <w:top w:val="nil"/>
              <w:left w:val="single" w:sz="4" w:space="0" w:color="auto"/>
              <w:bottom w:val="single" w:sz="4" w:space="0" w:color="auto"/>
              <w:right w:val="single" w:sz="4" w:space="0" w:color="auto"/>
            </w:tcBorders>
            <w:shd w:val="clear" w:color="auto" w:fill="auto"/>
            <w:vAlign w:val="center"/>
          </w:tcPr>
          <w:p w:rsidR="00E2507D" w:rsidRPr="00D832E7" w:rsidP="00E2507D">
            <w:pPr>
              <w:autoSpaceDE/>
              <w:autoSpaceDN/>
              <w:adjustRightInd/>
              <w:spacing w:after="0"/>
              <w:jc w:val="right"/>
              <w:rPr>
                <w:rFonts w:eastAsia="Times New Roman" w:cs="Arial"/>
                <w:lang w:eastAsia="en-GB"/>
              </w:rPr>
            </w:pPr>
            <w:r w:rsidRPr="00D832E7">
              <w:rPr>
                <w:rFonts w:cs="Arial"/>
              </w:rPr>
              <w:t>-0.353</w:t>
            </w:r>
          </w:p>
        </w:tc>
      </w:tr>
      <w:tr w:rsidTr="00E2507D">
        <w:tblPrEx>
          <w:tblW w:w="8947" w:type="dxa"/>
          <w:tblLook w:val="04A0"/>
        </w:tblPrEx>
        <w:trPr>
          <w:trHeight w:val="605"/>
        </w:trPr>
        <w:tc>
          <w:tcPr>
            <w:tcW w:w="884" w:type="dxa"/>
            <w:tcBorders>
              <w:top w:val="nil"/>
              <w:left w:val="single" w:sz="4" w:space="0" w:color="auto"/>
              <w:bottom w:val="single" w:sz="4" w:space="0" w:color="auto"/>
              <w:right w:val="single" w:sz="4" w:space="0" w:color="auto"/>
            </w:tcBorders>
            <w:shd w:val="clear" w:color="000000" w:fill="FFFFFF"/>
            <w:vAlign w:val="center"/>
          </w:tcPr>
          <w:p w:rsidR="00E2507D" w:rsidRPr="001301AB" w:rsidP="00E2507D">
            <w:pPr>
              <w:autoSpaceDE/>
              <w:autoSpaceDN/>
              <w:adjustRightInd/>
              <w:spacing w:after="0"/>
              <w:jc w:val="center"/>
              <w:rPr>
                <w:rFonts w:eastAsia="Times New Roman" w:cs="Arial"/>
                <w:b/>
                <w:bCs/>
                <w:lang w:eastAsia="en-GB"/>
              </w:rPr>
            </w:pPr>
            <w:r w:rsidRPr="001301AB">
              <w:rPr>
                <w:rFonts w:eastAsia="Times New Roman" w:cs="Arial"/>
                <w:b/>
                <w:bCs/>
                <w:lang w:eastAsia="en-GB"/>
              </w:rPr>
              <w:t>3.4.9</w:t>
            </w:r>
          </w:p>
        </w:tc>
        <w:tc>
          <w:tcPr>
            <w:tcW w:w="1979" w:type="dxa"/>
            <w:tcBorders>
              <w:top w:val="nil"/>
              <w:left w:val="nil"/>
              <w:bottom w:val="single" w:sz="4" w:space="0" w:color="auto"/>
              <w:right w:val="single" w:sz="4" w:space="0" w:color="auto"/>
            </w:tcBorders>
            <w:shd w:val="clear" w:color="000000" w:fill="FFFFFF"/>
            <w:vAlign w:val="center"/>
          </w:tcPr>
          <w:p w:rsidR="00E2507D" w:rsidRPr="00E91094" w:rsidP="00E2507D">
            <w:pPr>
              <w:autoSpaceDE/>
              <w:autoSpaceDN/>
              <w:adjustRightInd/>
              <w:spacing w:after="0"/>
              <w:jc w:val="left"/>
              <w:rPr>
                <w:rFonts w:eastAsia="Times New Roman" w:cs="Arial"/>
                <w:highlight w:val="yellow"/>
                <w:lang w:eastAsia="en-GB"/>
              </w:rPr>
            </w:pPr>
            <w:r w:rsidRPr="00E91094">
              <w:rPr>
                <w:rFonts w:eastAsia="Times New Roman" w:cs="Arial"/>
                <w:bCs/>
                <w:lang w:eastAsia="en-GB"/>
              </w:rPr>
              <w:t>Policy Info  &amp; Commission Start Well</w:t>
            </w:r>
          </w:p>
        </w:tc>
        <w:tc>
          <w:tcPr>
            <w:tcW w:w="1337" w:type="dxa"/>
            <w:tcBorders>
              <w:top w:val="nil"/>
              <w:left w:val="single" w:sz="4" w:space="0" w:color="auto"/>
              <w:bottom w:val="single" w:sz="4" w:space="0" w:color="auto"/>
              <w:right w:val="single" w:sz="4" w:space="0" w:color="auto"/>
            </w:tcBorders>
            <w:shd w:val="clear" w:color="auto" w:fill="auto"/>
            <w:vAlign w:val="center"/>
          </w:tcPr>
          <w:p w:rsidR="00E2507D" w:rsidRPr="00E07F4C" w:rsidP="00E2507D">
            <w:pPr>
              <w:autoSpaceDE/>
              <w:autoSpaceDN/>
              <w:adjustRightInd/>
              <w:spacing w:after="0"/>
              <w:jc w:val="right"/>
              <w:rPr>
                <w:rFonts w:eastAsia="Times New Roman" w:cs="Arial"/>
                <w:lang w:eastAsia="en-GB"/>
              </w:rPr>
            </w:pPr>
            <w:r w:rsidRPr="00E07F4C">
              <w:rPr>
                <w:rFonts w:eastAsia="Times New Roman" w:cs="Arial"/>
                <w:lang w:eastAsia="en-GB"/>
              </w:rPr>
              <w:t>0.902</w:t>
            </w:r>
          </w:p>
        </w:tc>
        <w:tc>
          <w:tcPr>
            <w:tcW w:w="1096" w:type="dxa"/>
            <w:tcBorders>
              <w:top w:val="nil"/>
              <w:left w:val="nil"/>
              <w:bottom w:val="single" w:sz="4" w:space="0" w:color="auto"/>
              <w:right w:val="single" w:sz="4" w:space="0" w:color="auto"/>
            </w:tcBorders>
            <w:shd w:val="clear" w:color="auto" w:fill="auto"/>
            <w:vAlign w:val="center"/>
          </w:tcPr>
          <w:p w:rsidR="00E2507D" w:rsidRPr="00E07F4C" w:rsidP="00E2507D">
            <w:pPr>
              <w:autoSpaceDE/>
              <w:autoSpaceDN/>
              <w:adjustRightInd/>
              <w:spacing w:after="0"/>
              <w:jc w:val="right"/>
              <w:rPr>
                <w:rFonts w:eastAsia="Times New Roman" w:cs="Arial"/>
                <w:lang w:eastAsia="en-GB"/>
              </w:rPr>
            </w:pPr>
            <w:r w:rsidRPr="00E07F4C">
              <w:rPr>
                <w:rFonts w:cs="Arial"/>
              </w:rPr>
              <w:t>0.929</w:t>
            </w:r>
          </w:p>
        </w:tc>
        <w:tc>
          <w:tcPr>
            <w:tcW w:w="1217" w:type="dxa"/>
            <w:tcBorders>
              <w:top w:val="nil"/>
              <w:left w:val="nil"/>
              <w:bottom w:val="single" w:sz="4" w:space="0" w:color="auto"/>
              <w:right w:val="single" w:sz="4" w:space="0" w:color="auto"/>
            </w:tcBorders>
            <w:shd w:val="clear" w:color="000000" w:fill="D9D9D9"/>
            <w:vAlign w:val="center"/>
          </w:tcPr>
          <w:p w:rsidR="00E2507D" w:rsidRPr="00E07F4C" w:rsidP="00E2507D">
            <w:pPr>
              <w:autoSpaceDE/>
              <w:autoSpaceDN/>
              <w:adjustRightInd/>
              <w:spacing w:after="0"/>
              <w:jc w:val="right"/>
              <w:rPr>
                <w:rFonts w:eastAsia="Times New Roman" w:cs="Arial"/>
                <w:lang w:eastAsia="en-GB"/>
              </w:rPr>
            </w:pPr>
            <w:r w:rsidRPr="00E07F4C">
              <w:rPr>
                <w:rFonts w:cs="Arial"/>
              </w:rPr>
              <w:t>0.027</w:t>
            </w:r>
          </w:p>
        </w:tc>
        <w:tc>
          <w:tcPr>
            <w:tcW w:w="1217" w:type="dxa"/>
            <w:tcBorders>
              <w:top w:val="nil"/>
              <w:left w:val="single" w:sz="4" w:space="0" w:color="auto"/>
              <w:bottom w:val="single" w:sz="4" w:space="0" w:color="auto"/>
              <w:right w:val="single" w:sz="4" w:space="0" w:color="auto"/>
            </w:tcBorders>
            <w:vAlign w:val="center"/>
          </w:tcPr>
          <w:p w:rsidR="00E2507D" w:rsidRPr="00D832E7" w:rsidP="00E2507D">
            <w:pPr>
              <w:autoSpaceDE/>
              <w:autoSpaceDN/>
              <w:adjustRightInd/>
              <w:spacing w:after="0"/>
              <w:jc w:val="right"/>
              <w:rPr>
                <w:rFonts w:cs="Arial"/>
              </w:rPr>
            </w:pPr>
            <w:r w:rsidRPr="00D832E7">
              <w:rPr>
                <w:rFonts w:cs="Arial"/>
              </w:rPr>
              <w:t>2.99%</w:t>
            </w:r>
          </w:p>
        </w:tc>
        <w:tc>
          <w:tcPr>
            <w:tcW w:w="1217" w:type="dxa"/>
            <w:tcBorders>
              <w:top w:val="nil"/>
              <w:left w:val="single" w:sz="4" w:space="0" w:color="auto"/>
              <w:bottom w:val="single" w:sz="4" w:space="0" w:color="auto"/>
              <w:right w:val="single" w:sz="4" w:space="0" w:color="auto"/>
            </w:tcBorders>
            <w:shd w:val="clear" w:color="auto" w:fill="auto"/>
            <w:vAlign w:val="center"/>
          </w:tcPr>
          <w:p w:rsidR="00E2507D" w:rsidRPr="00D832E7" w:rsidP="00E2507D">
            <w:pPr>
              <w:autoSpaceDE/>
              <w:autoSpaceDN/>
              <w:adjustRightInd/>
              <w:spacing w:after="0"/>
              <w:jc w:val="right"/>
              <w:rPr>
                <w:rFonts w:eastAsia="Times New Roman" w:cs="Arial"/>
                <w:lang w:eastAsia="en-GB"/>
              </w:rPr>
            </w:pPr>
            <w:r w:rsidRPr="00D832E7">
              <w:rPr>
                <w:rFonts w:cs="Arial"/>
              </w:rPr>
              <w:t>0.030</w:t>
            </w:r>
          </w:p>
        </w:tc>
      </w:tr>
      <w:tr w:rsidTr="00E2507D">
        <w:tblPrEx>
          <w:tblW w:w="8947" w:type="dxa"/>
          <w:tblLook w:val="04A0"/>
        </w:tblPrEx>
        <w:trPr>
          <w:trHeight w:val="605"/>
        </w:trPr>
        <w:tc>
          <w:tcPr>
            <w:tcW w:w="884" w:type="dxa"/>
            <w:tcBorders>
              <w:top w:val="nil"/>
              <w:left w:val="single" w:sz="4" w:space="0" w:color="auto"/>
              <w:bottom w:val="single" w:sz="4" w:space="0" w:color="auto"/>
              <w:right w:val="single" w:sz="4" w:space="0" w:color="auto"/>
            </w:tcBorders>
            <w:shd w:val="clear" w:color="000000" w:fill="FFFFFF"/>
            <w:vAlign w:val="center"/>
          </w:tcPr>
          <w:p w:rsidR="00E2507D" w:rsidRPr="001301AB" w:rsidP="00E2507D">
            <w:pPr>
              <w:autoSpaceDE/>
              <w:autoSpaceDN/>
              <w:adjustRightInd/>
              <w:spacing w:after="0"/>
              <w:jc w:val="center"/>
              <w:rPr>
                <w:rFonts w:eastAsia="Times New Roman" w:cs="Arial"/>
                <w:b/>
                <w:bCs/>
                <w:lang w:eastAsia="en-GB"/>
              </w:rPr>
            </w:pPr>
            <w:r w:rsidRPr="001301AB">
              <w:rPr>
                <w:rFonts w:eastAsia="Times New Roman" w:cs="Arial"/>
                <w:b/>
                <w:bCs/>
                <w:lang w:eastAsia="en-GB"/>
              </w:rPr>
              <w:t>3.4.10</w:t>
            </w:r>
          </w:p>
        </w:tc>
        <w:tc>
          <w:tcPr>
            <w:tcW w:w="1979" w:type="dxa"/>
            <w:tcBorders>
              <w:top w:val="nil"/>
              <w:left w:val="nil"/>
              <w:bottom w:val="single" w:sz="4" w:space="0" w:color="auto"/>
              <w:right w:val="single" w:sz="4" w:space="0" w:color="auto"/>
            </w:tcBorders>
            <w:shd w:val="clear" w:color="000000" w:fill="FFFFFF"/>
            <w:vAlign w:val="center"/>
          </w:tcPr>
          <w:p w:rsidR="00E2507D" w:rsidRPr="00E91094" w:rsidP="00E2507D">
            <w:pPr>
              <w:autoSpaceDE/>
              <w:autoSpaceDN/>
              <w:adjustRightInd/>
              <w:spacing w:after="0"/>
              <w:jc w:val="left"/>
              <w:rPr>
                <w:rFonts w:eastAsia="Times New Roman" w:cs="Arial"/>
                <w:highlight w:val="yellow"/>
                <w:lang w:eastAsia="en-GB"/>
              </w:rPr>
            </w:pPr>
            <w:r w:rsidRPr="00E91094">
              <w:rPr>
                <w:rFonts w:eastAsia="Times New Roman" w:cs="Arial"/>
                <w:bCs/>
                <w:lang w:eastAsia="en-GB"/>
              </w:rPr>
              <w:t>Education &amp; Children's Services Central Costs</w:t>
            </w:r>
          </w:p>
        </w:tc>
        <w:tc>
          <w:tcPr>
            <w:tcW w:w="1337" w:type="dxa"/>
            <w:tcBorders>
              <w:top w:val="nil"/>
              <w:left w:val="single" w:sz="4" w:space="0" w:color="auto"/>
              <w:bottom w:val="single" w:sz="4" w:space="0" w:color="auto"/>
              <w:right w:val="single" w:sz="4" w:space="0" w:color="auto"/>
            </w:tcBorders>
            <w:shd w:val="clear" w:color="auto" w:fill="auto"/>
            <w:vAlign w:val="center"/>
          </w:tcPr>
          <w:p w:rsidR="00E2507D" w:rsidRPr="001301AB" w:rsidP="00E2507D">
            <w:pPr>
              <w:autoSpaceDE/>
              <w:autoSpaceDN/>
              <w:adjustRightInd/>
              <w:spacing w:after="0"/>
              <w:jc w:val="right"/>
              <w:rPr>
                <w:rFonts w:cs="Arial"/>
                <w:highlight w:val="yellow"/>
              </w:rPr>
            </w:pPr>
            <w:r w:rsidRPr="001301AB">
              <w:rPr>
                <w:rFonts w:eastAsia="Times New Roman" w:cs="Arial"/>
                <w:lang w:eastAsia="en-GB"/>
              </w:rPr>
              <w:t>-1.406</w:t>
            </w:r>
          </w:p>
        </w:tc>
        <w:tc>
          <w:tcPr>
            <w:tcW w:w="1096" w:type="dxa"/>
            <w:tcBorders>
              <w:top w:val="nil"/>
              <w:left w:val="nil"/>
              <w:bottom w:val="single" w:sz="4" w:space="0" w:color="auto"/>
              <w:right w:val="single" w:sz="4" w:space="0" w:color="auto"/>
            </w:tcBorders>
            <w:shd w:val="clear" w:color="auto" w:fill="auto"/>
            <w:vAlign w:val="center"/>
          </w:tcPr>
          <w:p w:rsidR="00E2507D" w:rsidRPr="00E07F4C" w:rsidP="00E2507D">
            <w:pPr>
              <w:autoSpaceDE/>
              <w:autoSpaceDN/>
              <w:adjustRightInd/>
              <w:spacing w:after="0"/>
              <w:jc w:val="right"/>
              <w:rPr>
                <w:rFonts w:cs="Arial"/>
              </w:rPr>
            </w:pPr>
            <w:r w:rsidRPr="00E07F4C">
              <w:rPr>
                <w:rFonts w:cs="Arial"/>
              </w:rPr>
              <w:t>-2.030</w:t>
            </w:r>
          </w:p>
        </w:tc>
        <w:tc>
          <w:tcPr>
            <w:tcW w:w="1217" w:type="dxa"/>
            <w:tcBorders>
              <w:top w:val="nil"/>
              <w:left w:val="nil"/>
              <w:bottom w:val="single" w:sz="4" w:space="0" w:color="auto"/>
              <w:right w:val="single" w:sz="4" w:space="0" w:color="auto"/>
            </w:tcBorders>
            <w:shd w:val="clear" w:color="000000" w:fill="D9D9D9"/>
            <w:vAlign w:val="center"/>
          </w:tcPr>
          <w:p w:rsidR="00E2507D" w:rsidRPr="00E07F4C" w:rsidP="00E2507D">
            <w:pPr>
              <w:autoSpaceDE/>
              <w:autoSpaceDN/>
              <w:adjustRightInd/>
              <w:spacing w:after="0"/>
              <w:jc w:val="right"/>
              <w:rPr>
                <w:rFonts w:cs="Arial"/>
              </w:rPr>
            </w:pPr>
            <w:r w:rsidRPr="00E07F4C">
              <w:rPr>
                <w:rFonts w:cs="Arial"/>
              </w:rPr>
              <w:t>-0.624</w:t>
            </w:r>
          </w:p>
        </w:tc>
        <w:tc>
          <w:tcPr>
            <w:tcW w:w="1217" w:type="dxa"/>
            <w:tcBorders>
              <w:top w:val="nil"/>
              <w:left w:val="single" w:sz="4" w:space="0" w:color="auto"/>
              <w:bottom w:val="single" w:sz="4" w:space="0" w:color="auto"/>
              <w:right w:val="single" w:sz="4" w:space="0" w:color="auto"/>
            </w:tcBorders>
            <w:vAlign w:val="center"/>
          </w:tcPr>
          <w:p w:rsidR="00E2507D" w:rsidRPr="00D832E7" w:rsidP="00E2507D">
            <w:pPr>
              <w:autoSpaceDE/>
              <w:autoSpaceDN/>
              <w:adjustRightInd/>
              <w:spacing w:after="0"/>
              <w:jc w:val="right"/>
              <w:rPr>
                <w:rFonts w:cs="Arial"/>
              </w:rPr>
            </w:pPr>
            <w:r w:rsidRPr="00D832E7">
              <w:rPr>
                <w:rFonts w:cs="Arial"/>
              </w:rPr>
              <w:t>-44.38%</w:t>
            </w:r>
          </w:p>
        </w:tc>
        <w:tc>
          <w:tcPr>
            <w:tcW w:w="1217" w:type="dxa"/>
            <w:tcBorders>
              <w:top w:val="nil"/>
              <w:left w:val="single" w:sz="4" w:space="0" w:color="auto"/>
              <w:bottom w:val="single" w:sz="4" w:space="0" w:color="auto"/>
              <w:right w:val="single" w:sz="4" w:space="0" w:color="auto"/>
            </w:tcBorders>
            <w:shd w:val="clear" w:color="auto" w:fill="auto"/>
            <w:vAlign w:val="center"/>
          </w:tcPr>
          <w:p w:rsidR="00E2507D" w:rsidRPr="00D832E7" w:rsidP="00E2507D">
            <w:pPr>
              <w:autoSpaceDE/>
              <w:autoSpaceDN/>
              <w:adjustRightInd/>
              <w:spacing w:after="0"/>
              <w:jc w:val="right"/>
              <w:rPr>
                <w:rFonts w:cs="Arial"/>
              </w:rPr>
            </w:pPr>
            <w:r w:rsidRPr="00D832E7">
              <w:rPr>
                <w:rFonts w:cs="Arial"/>
              </w:rPr>
              <w:t>-0.183</w:t>
            </w:r>
          </w:p>
        </w:tc>
      </w:tr>
      <w:tr w:rsidTr="00E2507D">
        <w:tblPrEx>
          <w:tblW w:w="8947" w:type="dxa"/>
          <w:tblLook w:val="04A0"/>
        </w:tblPrEx>
        <w:trPr>
          <w:trHeight w:val="627"/>
        </w:trPr>
        <w:tc>
          <w:tcPr>
            <w:tcW w:w="884" w:type="dxa"/>
            <w:tcBorders>
              <w:top w:val="nil"/>
              <w:left w:val="single" w:sz="4" w:space="0" w:color="auto"/>
              <w:bottom w:val="single" w:sz="4" w:space="0" w:color="auto"/>
              <w:right w:val="single" w:sz="4" w:space="0" w:color="auto"/>
            </w:tcBorders>
            <w:shd w:val="clear" w:color="000000" w:fill="D9D9D9"/>
            <w:vAlign w:val="center"/>
            <w:hideMark/>
          </w:tcPr>
          <w:p w:rsidR="00E2507D" w:rsidRPr="001301AB" w:rsidP="00E2507D">
            <w:pPr>
              <w:autoSpaceDE/>
              <w:autoSpaceDN/>
              <w:adjustRightInd/>
              <w:spacing w:after="0"/>
              <w:jc w:val="center"/>
              <w:rPr>
                <w:rFonts w:eastAsia="Times New Roman" w:cs="Arial"/>
                <w:b/>
                <w:bCs/>
                <w:lang w:eastAsia="en-GB"/>
              </w:rPr>
            </w:pPr>
            <w:r w:rsidRPr="001301AB">
              <w:rPr>
                <w:rFonts w:eastAsia="Times New Roman" w:cs="Arial"/>
                <w:b/>
                <w:bCs/>
                <w:lang w:eastAsia="en-GB"/>
              </w:rPr>
              <w:t> </w:t>
            </w:r>
          </w:p>
        </w:tc>
        <w:tc>
          <w:tcPr>
            <w:tcW w:w="1979" w:type="dxa"/>
            <w:tcBorders>
              <w:top w:val="nil"/>
              <w:left w:val="nil"/>
              <w:bottom w:val="single" w:sz="4" w:space="0" w:color="auto"/>
              <w:right w:val="single" w:sz="4" w:space="0" w:color="auto"/>
            </w:tcBorders>
            <w:shd w:val="clear" w:color="000000" w:fill="D9D9D9"/>
            <w:vAlign w:val="center"/>
            <w:hideMark/>
          </w:tcPr>
          <w:p w:rsidR="00E2507D" w:rsidRPr="001301AB" w:rsidP="00E2507D">
            <w:pPr>
              <w:autoSpaceDE/>
              <w:autoSpaceDN/>
              <w:adjustRightInd/>
              <w:spacing w:after="0"/>
              <w:jc w:val="left"/>
              <w:rPr>
                <w:rFonts w:eastAsia="Times New Roman" w:cs="Arial"/>
                <w:b/>
                <w:bCs/>
                <w:lang w:eastAsia="en-GB"/>
              </w:rPr>
            </w:pPr>
            <w:r w:rsidRPr="001301AB">
              <w:rPr>
                <w:rFonts w:eastAsia="Times New Roman" w:cs="Arial"/>
                <w:b/>
                <w:bCs/>
                <w:lang w:eastAsia="en-GB"/>
              </w:rPr>
              <w:t>Total – Education and Children's Services</w:t>
            </w:r>
          </w:p>
        </w:tc>
        <w:tc>
          <w:tcPr>
            <w:tcW w:w="1337" w:type="dxa"/>
            <w:tcBorders>
              <w:top w:val="nil"/>
              <w:left w:val="single" w:sz="4" w:space="0" w:color="auto"/>
              <w:bottom w:val="single" w:sz="4" w:space="0" w:color="auto"/>
              <w:right w:val="single" w:sz="4" w:space="0" w:color="auto"/>
            </w:tcBorders>
            <w:shd w:val="clear" w:color="000000" w:fill="D9D9D9"/>
            <w:vAlign w:val="center"/>
          </w:tcPr>
          <w:p w:rsidR="00E2507D" w:rsidRPr="001301AB" w:rsidP="00E2507D">
            <w:pPr>
              <w:autoSpaceDE/>
              <w:autoSpaceDN/>
              <w:adjustRightInd/>
              <w:spacing w:after="0"/>
              <w:jc w:val="right"/>
              <w:rPr>
                <w:rFonts w:eastAsia="Times New Roman" w:cs="Arial"/>
                <w:b/>
                <w:bCs/>
                <w:highlight w:val="yellow"/>
                <w:lang w:eastAsia="en-GB"/>
              </w:rPr>
            </w:pPr>
            <w:r w:rsidRPr="001301AB">
              <w:rPr>
                <w:rFonts w:eastAsia="Times New Roman" w:cs="Arial"/>
                <w:b/>
                <w:bCs/>
                <w:lang w:eastAsia="en-GB"/>
              </w:rPr>
              <w:t>190.535</w:t>
            </w:r>
          </w:p>
        </w:tc>
        <w:tc>
          <w:tcPr>
            <w:tcW w:w="1096" w:type="dxa"/>
            <w:tcBorders>
              <w:top w:val="nil"/>
              <w:left w:val="nil"/>
              <w:bottom w:val="single" w:sz="4" w:space="0" w:color="auto"/>
              <w:right w:val="single" w:sz="4" w:space="0" w:color="auto"/>
            </w:tcBorders>
            <w:shd w:val="clear" w:color="000000" w:fill="D9D9D9"/>
            <w:vAlign w:val="center"/>
          </w:tcPr>
          <w:p w:rsidR="00E2507D" w:rsidRPr="00E07F4C" w:rsidP="00E2507D">
            <w:pPr>
              <w:autoSpaceDE/>
              <w:autoSpaceDN/>
              <w:adjustRightInd/>
              <w:spacing w:after="0"/>
              <w:jc w:val="right"/>
              <w:rPr>
                <w:rFonts w:eastAsia="Times New Roman" w:cs="Arial"/>
                <w:b/>
                <w:bCs/>
                <w:lang w:eastAsia="en-GB"/>
              </w:rPr>
            </w:pPr>
            <w:r w:rsidRPr="00E07F4C">
              <w:rPr>
                <w:rFonts w:cs="Arial"/>
                <w:b/>
                <w:bCs/>
              </w:rPr>
              <w:t>191.128</w:t>
            </w:r>
          </w:p>
        </w:tc>
        <w:tc>
          <w:tcPr>
            <w:tcW w:w="1217" w:type="dxa"/>
            <w:tcBorders>
              <w:top w:val="nil"/>
              <w:left w:val="nil"/>
              <w:bottom w:val="single" w:sz="4" w:space="0" w:color="auto"/>
              <w:right w:val="single" w:sz="4" w:space="0" w:color="auto"/>
            </w:tcBorders>
            <w:shd w:val="clear" w:color="000000" w:fill="D9D9D9"/>
            <w:vAlign w:val="center"/>
          </w:tcPr>
          <w:p w:rsidR="00E2507D" w:rsidRPr="00E07F4C" w:rsidP="00E2507D">
            <w:pPr>
              <w:autoSpaceDE/>
              <w:autoSpaceDN/>
              <w:adjustRightInd/>
              <w:spacing w:after="0"/>
              <w:jc w:val="right"/>
              <w:rPr>
                <w:rFonts w:eastAsia="Times New Roman" w:cs="Arial"/>
                <w:b/>
                <w:bCs/>
                <w:lang w:eastAsia="en-GB"/>
              </w:rPr>
            </w:pPr>
            <w:r w:rsidRPr="00E07F4C">
              <w:rPr>
                <w:rFonts w:cs="Arial"/>
                <w:b/>
                <w:bCs/>
              </w:rPr>
              <w:t>0.593</w:t>
            </w:r>
          </w:p>
        </w:tc>
        <w:tc>
          <w:tcPr>
            <w:tcW w:w="1217" w:type="dxa"/>
            <w:tcBorders>
              <w:top w:val="nil"/>
              <w:left w:val="single" w:sz="4" w:space="0" w:color="auto"/>
              <w:bottom w:val="single" w:sz="4" w:space="0" w:color="auto"/>
              <w:right w:val="single" w:sz="4" w:space="0" w:color="auto"/>
            </w:tcBorders>
            <w:shd w:val="clear" w:color="000000" w:fill="D9D9D9"/>
            <w:vAlign w:val="center"/>
          </w:tcPr>
          <w:p w:rsidR="00E2507D" w:rsidRPr="00D832E7" w:rsidP="00E2507D">
            <w:pPr>
              <w:autoSpaceDE/>
              <w:autoSpaceDN/>
              <w:adjustRightInd/>
              <w:spacing w:after="0"/>
              <w:jc w:val="right"/>
              <w:rPr>
                <w:rFonts w:cs="Arial"/>
                <w:b/>
                <w:bCs/>
              </w:rPr>
            </w:pPr>
            <w:r w:rsidRPr="00D832E7">
              <w:rPr>
                <w:rFonts w:cs="Arial"/>
                <w:b/>
                <w:bCs/>
              </w:rPr>
              <w:t>0.31%</w:t>
            </w:r>
          </w:p>
        </w:tc>
        <w:tc>
          <w:tcPr>
            <w:tcW w:w="1217" w:type="dxa"/>
            <w:tcBorders>
              <w:top w:val="nil"/>
              <w:left w:val="single" w:sz="4" w:space="0" w:color="auto"/>
              <w:bottom w:val="single" w:sz="4" w:space="0" w:color="auto"/>
              <w:right w:val="single" w:sz="4" w:space="0" w:color="auto"/>
            </w:tcBorders>
            <w:shd w:val="clear" w:color="000000" w:fill="D9D9D9"/>
            <w:vAlign w:val="center"/>
          </w:tcPr>
          <w:p w:rsidR="00E2507D" w:rsidRPr="00D832E7" w:rsidP="00E2507D">
            <w:pPr>
              <w:autoSpaceDE/>
              <w:autoSpaceDN/>
              <w:adjustRightInd/>
              <w:spacing w:after="0"/>
              <w:jc w:val="right"/>
              <w:rPr>
                <w:rFonts w:eastAsia="Times New Roman" w:cs="Arial"/>
                <w:b/>
                <w:bCs/>
                <w:lang w:eastAsia="en-GB"/>
              </w:rPr>
            </w:pPr>
            <w:r w:rsidRPr="00D832E7">
              <w:rPr>
                <w:rFonts w:cs="Arial"/>
                <w:b/>
                <w:bCs/>
              </w:rPr>
              <w:t>3.484</w:t>
            </w:r>
          </w:p>
        </w:tc>
      </w:tr>
    </w:tbl>
    <w:p w:rsidR="00E2507D" w:rsidRPr="00506BBC" w:rsidP="00E2507D">
      <w:pPr>
        <w:tabs>
          <w:tab w:val="left" w:pos="0"/>
          <w:tab w:val="left" w:pos="1418"/>
        </w:tabs>
        <w:contextualSpacing/>
        <w:rPr>
          <w:rFonts w:cs="Arial"/>
          <w:highlight w:val="yellow"/>
        </w:rPr>
      </w:pPr>
    </w:p>
    <w:p w:rsidR="00E2507D" w:rsidRPr="00FD06BB" w:rsidP="00E2507D">
      <w:pPr>
        <w:tabs>
          <w:tab w:val="left" w:pos="0"/>
          <w:tab w:val="left" w:pos="1418"/>
        </w:tabs>
        <w:contextualSpacing/>
        <w:rPr>
          <w:rFonts w:cs="Arial"/>
        </w:rPr>
      </w:pPr>
      <w:r w:rsidRPr="00FD06BB">
        <w:rPr>
          <w:rFonts w:cs="Arial"/>
        </w:rPr>
        <w:t>Chi</w:t>
      </w:r>
      <w:r>
        <w:rPr>
          <w:rFonts w:cs="Arial"/>
        </w:rPr>
        <w:t>ldren's Services overspent by £593,000</w:t>
      </w:r>
      <w:r w:rsidRPr="00FD06BB">
        <w:rPr>
          <w:rFonts w:cs="Arial"/>
        </w:rPr>
        <w:t xml:space="preserve"> in 2019/20 </w:t>
      </w:r>
      <w:r>
        <w:rPr>
          <w:rFonts w:cs="Arial"/>
        </w:rPr>
        <w:t xml:space="preserve">against a budget of £190.535m. </w:t>
      </w:r>
      <w:r w:rsidRPr="00FD06BB">
        <w:rPr>
          <w:rFonts w:cs="Arial"/>
        </w:rPr>
        <w:t xml:space="preserve">This is a decrease </w:t>
      </w:r>
      <w:r>
        <w:rPr>
          <w:rFonts w:cs="Arial"/>
        </w:rPr>
        <w:t xml:space="preserve">in overspend </w:t>
      </w:r>
      <w:r w:rsidRPr="00FD06BB">
        <w:rPr>
          <w:rFonts w:cs="Arial"/>
        </w:rPr>
        <w:t>of £2.891m fro</w:t>
      </w:r>
      <w:r>
        <w:rPr>
          <w:rFonts w:cs="Arial"/>
        </w:rPr>
        <w:t xml:space="preserve">m the forecast outturn reported to Cabinet at </w:t>
      </w:r>
      <w:r w:rsidRPr="00FD06BB">
        <w:rPr>
          <w:rFonts w:cs="Arial"/>
        </w:rPr>
        <w:t>Quarter 3.</w:t>
      </w:r>
    </w:p>
    <w:p w:rsidR="00E2507D" w:rsidRPr="00506BBC" w:rsidP="00E2507D">
      <w:pPr>
        <w:tabs>
          <w:tab w:val="left" w:pos="0"/>
          <w:tab w:val="left" w:pos="1418"/>
        </w:tabs>
        <w:contextualSpacing/>
        <w:rPr>
          <w:rFonts w:cs="Arial"/>
          <w:highlight w:val="yellow"/>
        </w:rPr>
      </w:pPr>
    </w:p>
    <w:p w:rsidR="00E2507D" w:rsidRPr="00506BBC" w:rsidP="00E2507D">
      <w:pPr>
        <w:spacing w:after="0"/>
        <w:rPr>
          <w:highlight w:val="yellow"/>
        </w:rPr>
      </w:pPr>
    </w:p>
    <w:p w:rsidR="00E2507D" w:rsidRPr="008B1040" w:rsidP="00E2507D">
      <w:pPr>
        <w:spacing w:after="0"/>
        <w:rPr>
          <w:rFonts w:cs="Arial"/>
        </w:rPr>
      </w:pPr>
      <w:r w:rsidRPr="00711F8A">
        <w:rPr>
          <w:rFonts w:cs="Arial"/>
          <w:b/>
        </w:rPr>
        <w:t>3.4.1 Children's Social Care</w:t>
      </w:r>
      <w:r w:rsidRPr="0017397C">
        <w:rPr>
          <w:rFonts w:cs="Arial"/>
        </w:rPr>
        <w:t xml:space="preserve"> </w:t>
      </w:r>
      <w:r w:rsidRPr="00711F8A">
        <w:rPr>
          <w:rFonts w:cs="Arial"/>
          <w:b/>
        </w:rPr>
        <w:t>Localities</w:t>
      </w:r>
      <w:r w:rsidRPr="00DE295C">
        <w:rPr>
          <w:rFonts w:cs="Arial"/>
          <w:b/>
          <w:i/>
        </w:rPr>
        <w:t xml:space="preserve"> </w:t>
      </w:r>
      <w:r w:rsidRPr="00DE295C">
        <w:rPr>
          <w:rFonts w:cs="Arial"/>
        </w:rPr>
        <w:t xml:space="preserve">is overspent by £2.931m for 2019/20.  This is a small decreased overspend compared to Quarter 3. The overspend is due to </w:t>
      </w:r>
      <w:r w:rsidRPr="00DE295C">
        <w:rPr>
          <w:rFonts w:cs="Arial"/>
        </w:rPr>
        <w:t>overspends on staffing (£3.829m), agency residential and fostering placement costs (£450,000</w:t>
      </w:r>
      <w:r>
        <w:rPr>
          <w:rFonts w:cs="Arial"/>
        </w:rPr>
        <w:t xml:space="preserve">) with </w:t>
      </w:r>
      <w:r w:rsidRPr="00DE295C">
        <w:rPr>
          <w:rFonts w:cs="Arial"/>
        </w:rPr>
        <w:t>offsetting underspends across Special</w:t>
      </w:r>
      <w:r>
        <w:rPr>
          <w:rFonts w:cs="Arial"/>
        </w:rPr>
        <w:t xml:space="preserve"> </w:t>
      </w:r>
      <w:r w:rsidRPr="00DE295C">
        <w:rPr>
          <w:rFonts w:cs="Arial"/>
        </w:rPr>
        <w:t>Guardianship Orders and Assistance to Families (£951,000) in addition to other smaller underspends across the service.</w:t>
      </w:r>
      <w:r w:rsidRPr="00FF5B8B">
        <w:rPr>
          <w:rFonts w:eastAsiaTheme="minorHAnsi" w:cs="Arial"/>
          <w:color w:val="auto"/>
          <w:sz w:val="22"/>
          <w:szCs w:val="22"/>
        </w:rPr>
        <w:t xml:space="preserve"> </w:t>
      </w:r>
    </w:p>
    <w:p w:rsidR="00E2507D" w:rsidP="00E2507D">
      <w:pPr>
        <w:spacing w:after="0"/>
        <w:rPr>
          <w:rFonts w:eastAsiaTheme="minorHAnsi" w:cs="Arial"/>
          <w:color w:val="auto"/>
          <w:sz w:val="22"/>
          <w:szCs w:val="22"/>
        </w:rPr>
      </w:pPr>
    </w:p>
    <w:p w:rsidR="00E2507D" w:rsidP="00E2507D">
      <w:pPr>
        <w:spacing w:after="0"/>
        <w:rPr>
          <w:rFonts w:cs="Arial"/>
        </w:rPr>
      </w:pPr>
      <w:r w:rsidRPr="00FF5B8B">
        <w:rPr>
          <w:rFonts w:cs="Arial"/>
        </w:rPr>
        <w:t xml:space="preserve">Residential placements increased from 292 in March 2019 </w:t>
      </w:r>
      <w:r>
        <w:rPr>
          <w:rFonts w:cs="Arial"/>
        </w:rPr>
        <w:t>to</w:t>
      </w:r>
      <w:r w:rsidRPr="00FF5B8B">
        <w:rPr>
          <w:rFonts w:cs="Arial"/>
        </w:rPr>
        <w:t xml:space="preserve"> 303 in March 2020.  Average residential placement costs increased during 2019/20, over and above inf</w:t>
      </w:r>
      <w:r>
        <w:rPr>
          <w:rFonts w:cs="Arial"/>
        </w:rPr>
        <w:t>lation.  Fostering placements decr</w:t>
      </w:r>
      <w:r w:rsidRPr="00FF5B8B">
        <w:rPr>
          <w:rFonts w:cs="Arial"/>
        </w:rPr>
        <w:t xml:space="preserve">eased from </w:t>
      </w:r>
      <w:r>
        <w:rPr>
          <w:rFonts w:cs="Arial"/>
        </w:rPr>
        <w:t>524 in March 2019 to</w:t>
      </w:r>
      <w:r w:rsidRPr="00FF5B8B">
        <w:rPr>
          <w:rFonts w:cs="Arial"/>
        </w:rPr>
        <w:t xml:space="preserve"> 501 in March 2020.  </w:t>
      </w:r>
    </w:p>
    <w:p w:rsidR="00E2507D" w:rsidP="00E2507D">
      <w:pPr>
        <w:spacing w:after="0"/>
        <w:rPr>
          <w:rFonts w:cs="Arial"/>
        </w:rPr>
      </w:pPr>
    </w:p>
    <w:p w:rsidR="00E2507D" w:rsidRPr="00FF5B8B" w:rsidP="00E2507D">
      <w:pPr>
        <w:spacing w:after="0"/>
        <w:rPr>
          <w:rFonts w:cs="Arial"/>
        </w:rPr>
      </w:pPr>
      <w:r w:rsidRPr="00FF5B8B">
        <w:rPr>
          <w:rFonts w:cs="Arial"/>
        </w:rPr>
        <w:t>Numbers of agency fostering placements have not decreased as expected in line with increases in in-house fostering placements and increases in in-house fostering placements have largely related to connected carers.  Work will continue as part of the Children's Services Finance Monitoring Board to review numbers of placements to estimate likely future demand, including the achievem</w:t>
      </w:r>
      <w:r>
        <w:rPr>
          <w:rFonts w:cs="Arial"/>
        </w:rPr>
        <w:t xml:space="preserve">ent of agreed savings </w:t>
      </w:r>
      <w:r w:rsidRPr="00FF5B8B">
        <w:rPr>
          <w:rFonts w:cs="Arial"/>
        </w:rPr>
        <w:t>to identify the impact</w:t>
      </w:r>
      <w:r>
        <w:rPr>
          <w:rFonts w:cs="Arial"/>
        </w:rPr>
        <w:t xml:space="preserve"> of this on our</w:t>
      </w:r>
      <w:r w:rsidRPr="00FF5B8B">
        <w:rPr>
          <w:rFonts w:cs="Arial"/>
        </w:rPr>
        <w:t xml:space="preserve"> budget.</w:t>
      </w:r>
      <w:r>
        <w:rPr>
          <w:rFonts w:cs="Arial"/>
        </w:rPr>
        <w:t xml:space="preserve"> During the financial year the council was successful in bidding for funding from the DFE to implement the Hertfordshire family safeguarding model which if successful will help to control demand levels and deliver better outcomes for young people and efficiencies for the council.</w:t>
      </w:r>
      <w:r w:rsidRPr="00FF5B8B">
        <w:rPr>
          <w:rFonts w:cs="Arial"/>
        </w:rPr>
        <w:t xml:space="preserve"> </w:t>
      </w:r>
    </w:p>
    <w:p w:rsidR="00E2507D" w:rsidRPr="00DE295C" w:rsidP="00E2507D">
      <w:pPr>
        <w:spacing w:after="0"/>
        <w:rPr>
          <w:rFonts w:cs="Arial"/>
        </w:rPr>
      </w:pPr>
    </w:p>
    <w:p w:rsidR="00E2507D" w:rsidP="00E2507D">
      <w:pPr>
        <w:spacing w:after="0"/>
        <w:rPr>
          <w:rFonts w:cs="Arial"/>
        </w:rPr>
      </w:pPr>
      <w:r w:rsidRPr="00711F8A">
        <w:rPr>
          <w:rFonts w:cs="Arial"/>
          <w:b/>
        </w:rPr>
        <w:t>3.4.2 Fostering, Adoption, Residential and Youth Offending Team</w:t>
      </w:r>
      <w:r w:rsidRPr="006F324C">
        <w:rPr>
          <w:rFonts w:cs="Arial"/>
        </w:rPr>
        <w:t xml:space="preserve"> has overspent by £707,000 in 2019/20 which has decreased from the forecast at Quarter 3 by £1.075m. This largely relates to additional income from the Adoption Support Fund and less in-house foster care allowances than previously forecast.</w:t>
      </w:r>
    </w:p>
    <w:p w:rsidR="00E2507D" w:rsidP="00E2507D">
      <w:pPr>
        <w:spacing w:after="0"/>
        <w:rPr>
          <w:rFonts w:cs="Arial"/>
        </w:rPr>
      </w:pPr>
    </w:p>
    <w:p w:rsidR="00E2507D" w:rsidRPr="00494465" w:rsidP="00E2507D">
      <w:pPr>
        <w:spacing w:after="0"/>
        <w:rPr>
          <w:rFonts w:cs="Arial"/>
        </w:rPr>
      </w:pPr>
      <w:r w:rsidRPr="00494465">
        <w:rPr>
          <w:rFonts w:cs="Arial"/>
        </w:rPr>
        <w:t>The service are experiencing underspends across the adoption service of £838,000, predominantly due to an underspend on interagency fees. This is offset by an overspend of £873,000 in the residential in-house provision services mainly due to staff costs resulting from an increase in complex placements and welfare checks. There is also an overspend of £811,000 in the fostering service due to increases in placements (mainly with connected carers) over and above the sum budgeted.</w:t>
      </w:r>
    </w:p>
    <w:p w:rsidR="00E2507D" w:rsidP="00E2507D">
      <w:pPr>
        <w:spacing w:after="0"/>
        <w:rPr>
          <w:rFonts w:cs="Arial"/>
          <w:highlight w:val="yellow"/>
        </w:rPr>
      </w:pPr>
    </w:p>
    <w:p w:rsidR="00E2507D" w:rsidP="00E2507D">
      <w:pPr>
        <w:contextualSpacing/>
        <w:rPr>
          <w:rFonts w:cs="Arial"/>
        </w:rPr>
      </w:pPr>
      <w:r w:rsidRPr="00711F8A">
        <w:rPr>
          <w:rFonts w:cs="Arial"/>
          <w:b/>
        </w:rPr>
        <w:t>3.4.3 Safeguarding, Inspection and Audit (SIA)</w:t>
      </w:r>
      <w:r w:rsidRPr="0017397C">
        <w:rPr>
          <w:rFonts w:cs="Arial"/>
        </w:rPr>
        <w:t xml:space="preserve"> </w:t>
      </w:r>
      <w:r w:rsidRPr="00494465">
        <w:rPr>
          <w:rFonts w:cs="Arial"/>
        </w:rPr>
        <w:t xml:space="preserve">underspent by £655,000 in 2019/20 and has improved by £163,000 from Quarter 3. The underspend position is predominantly due to staffing underspends. </w:t>
      </w:r>
    </w:p>
    <w:p w:rsidR="00E2507D" w:rsidP="00E2507D">
      <w:pPr>
        <w:contextualSpacing/>
        <w:rPr>
          <w:rFonts w:cs="Arial"/>
        </w:rPr>
      </w:pPr>
    </w:p>
    <w:p w:rsidR="00E2507D" w:rsidRPr="00B0667B" w:rsidP="00E2507D">
      <w:pPr>
        <w:contextualSpacing/>
        <w:rPr>
          <w:rFonts w:cs="Arial"/>
        </w:rPr>
      </w:pPr>
      <w:r w:rsidRPr="00711F8A">
        <w:rPr>
          <w:rFonts w:cs="Arial"/>
          <w:b/>
        </w:rPr>
        <w:t>3.4.4</w:t>
      </w:r>
      <w:r w:rsidRPr="0017397C">
        <w:rPr>
          <w:rFonts w:cs="Arial"/>
          <w:b/>
        </w:rPr>
        <w:t xml:space="preserve"> </w:t>
      </w:r>
      <w:r w:rsidRPr="00711F8A">
        <w:rPr>
          <w:rFonts w:cs="Arial"/>
          <w:b/>
        </w:rPr>
        <w:t>Children and Family Wellbeing (CFW)</w:t>
      </w:r>
      <w:r>
        <w:rPr>
          <w:rFonts w:cs="Arial"/>
          <w:b/>
          <w:i/>
        </w:rPr>
        <w:t xml:space="preserve"> </w:t>
      </w:r>
      <w:r>
        <w:rPr>
          <w:rFonts w:cs="Arial"/>
        </w:rPr>
        <w:t>outturned with an underspend of £4.378m.</w:t>
      </w:r>
      <w:r w:rsidRPr="00B0667B">
        <w:rPr>
          <w:rFonts w:cs="Arial"/>
          <w:sz w:val="22"/>
          <w:szCs w:val="22"/>
        </w:rPr>
        <w:t xml:space="preserve"> </w:t>
      </w:r>
      <w:r w:rsidRPr="00B0667B">
        <w:rPr>
          <w:rFonts w:cs="Arial"/>
        </w:rPr>
        <w:t>The service reported underspends of £2.976m to Cabinet at th</w:t>
      </w:r>
      <w:r>
        <w:rPr>
          <w:rFonts w:cs="Arial"/>
        </w:rPr>
        <w:t>e end of Quarter 3</w:t>
      </w:r>
      <w:r w:rsidRPr="00B0667B">
        <w:rPr>
          <w:rFonts w:cs="Arial"/>
        </w:rPr>
        <w:t xml:space="preserve">, an additional underspend of £1.402m.  This is mainly due to receipt of additional income, and a reduction in both staff and non-staff costs across the service.  </w:t>
      </w:r>
    </w:p>
    <w:p w:rsidR="00E2507D" w:rsidRPr="00B0667B" w:rsidP="00E2507D">
      <w:pPr>
        <w:contextualSpacing/>
        <w:rPr>
          <w:rFonts w:cs="Arial"/>
        </w:rPr>
      </w:pPr>
    </w:p>
    <w:p w:rsidR="00E2507D" w:rsidRPr="004B55FE" w:rsidP="00E2507D">
      <w:pPr>
        <w:contextualSpacing/>
        <w:rPr>
          <w:rFonts w:cs="Arial"/>
        </w:rPr>
      </w:pPr>
      <w:r>
        <w:rPr>
          <w:rFonts w:cs="Arial"/>
        </w:rPr>
        <w:t>The full year variance is predominantly as a result of u</w:t>
      </w:r>
      <w:r w:rsidRPr="004B55FE">
        <w:rPr>
          <w:rFonts w:cs="Arial"/>
        </w:rPr>
        <w:t xml:space="preserve">nderspends </w:t>
      </w:r>
      <w:r>
        <w:rPr>
          <w:rFonts w:cs="Arial"/>
        </w:rPr>
        <w:t>relating to staff costs of £1.863m and the</w:t>
      </w:r>
      <w:r w:rsidRPr="004B55FE">
        <w:rPr>
          <w:rFonts w:cs="Arial"/>
        </w:rPr>
        <w:t xml:space="preserve"> over recove</w:t>
      </w:r>
      <w:r>
        <w:rPr>
          <w:rFonts w:cs="Arial"/>
        </w:rPr>
        <w:t xml:space="preserve">ry of payments by results </w:t>
      </w:r>
      <w:r w:rsidRPr="004B55FE">
        <w:rPr>
          <w:rFonts w:cs="Arial"/>
        </w:rPr>
        <w:t>income</w:t>
      </w:r>
      <w:r>
        <w:rPr>
          <w:rFonts w:cs="Arial"/>
        </w:rPr>
        <w:t xml:space="preserve"> of £1.971m.</w:t>
      </w:r>
    </w:p>
    <w:p w:rsidR="00E2507D" w:rsidRPr="00506BBC" w:rsidP="00E2507D">
      <w:pPr>
        <w:spacing w:after="0"/>
        <w:rPr>
          <w:rFonts w:cs="Arial"/>
          <w:highlight w:val="yellow"/>
        </w:rPr>
      </w:pPr>
      <w:r w:rsidRPr="00506BBC">
        <w:rPr>
          <w:rFonts w:cs="Arial"/>
          <w:highlight w:val="yellow"/>
        </w:rPr>
        <w:t xml:space="preserve">  </w:t>
      </w:r>
    </w:p>
    <w:p w:rsidR="00E2507D" w:rsidRPr="00AC5F66" w:rsidP="00E2507D">
      <w:pPr>
        <w:autoSpaceDE/>
        <w:autoSpaceDN/>
        <w:adjustRightInd/>
        <w:spacing w:after="0" w:line="259" w:lineRule="auto"/>
        <w:jc w:val="left"/>
        <w:rPr>
          <w:rFonts w:cs="Arial"/>
        </w:rPr>
      </w:pPr>
      <w:r w:rsidRPr="00711F8A">
        <w:rPr>
          <w:rFonts w:cs="Arial"/>
          <w:b/>
        </w:rPr>
        <w:t>3.4.5 &amp; 3.4.6 Education Improvement</w:t>
      </w:r>
      <w:r w:rsidRPr="008B1040">
        <w:rPr>
          <w:rFonts w:cs="Arial"/>
          <w:b/>
          <w:i/>
        </w:rPr>
        <w:t xml:space="preserve"> </w:t>
      </w:r>
      <w:r w:rsidRPr="008B1040">
        <w:rPr>
          <w:rFonts w:cs="Arial"/>
        </w:rPr>
        <w:t xml:space="preserve">delivered an overspend of £485,000 in 2019/20. </w:t>
      </w:r>
      <w:r w:rsidRPr="00AC5F66">
        <w:rPr>
          <w:rFonts w:cs="Arial"/>
        </w:rPr>
        <w:t xml:space="preserve">The full year position is due to the non-delivery of savings and a decrease in income as a result of a decline in course bookings and from the sale of data products. These overspends are somewhat mitigated by underspends of £434,000 mainly relate to CLA work placements which is as a result of the early delivery of savings which are due to be made from 2020/21.     </w:t>
      </w:r>
    </w:p>
    <w:p w:rsidR="00E2507D" w:rsidP="00E2507D">
      <w:pPr>
        <w:autoSpaceDE/>
        <w:autoSpaceDN/>
        <w:adjustRightInd/>
        <w:spacing w:after="0" w:line="259" w:lineRule="auto"/>
        <w:jc w:val="left"/>
        <w:rPr>
          <w:rFonts w:cs="Arial"/>
        </w:rPr>
      </w:pPr>
    </w:p>
    <w:p w:rsidR="00E2507D" w:rsidP="00E2507D">
      <w:pPr>
        <w:autoSpaceDE/>
        <w:autoSpaceDN/>
        <w:adjustRightInd/>
        <w:spacing w:after="0" w:line="259" w:lineRule="auto"/>
        <w:jc w:val="left"/>
        <w:rPr>
          <w:rFonts w:cs="Arial"/>
        </w:rPr>
      </w:pPr>
    </w:p>
    <w:p w:rsidR="00E2507D" w:rsidP="00E2507D">
      <w:pPr>
        <w:autoSpaceDE/>
        <w:autoSpaceDN/>
        <w:adjustRightInd/>
        <w:spacing w:after="0" w:line="259" w:lineRule="auto"/>
        <w:jc w:val="left"/>
        <w:rPr>
          <w:rFonts w:cs="Arial"/>
        </w:rPr>
      </w:pPr>
      <w:r>
        <w:rPr>
          <w:rFonts w:cs="Arial"/>
        </w:rPr>
        <w:t>The overspend has increased by £260,000 against that reported at the end of quarter 3 as a result of under achievement of traded income.</w:t>
      </w:r>
    </w:p>
    <w:p w:rsidR="00E2507D" w:rsidP="00E2507D">
      <w:pPr>
        <w:autoSpaceDE/>
        <w:autoSpaceDN/>
        <w:adjustRightInd/>
        <w:spacing w:after="0" w:line="259" w:lineRule="auto"/>
        <w:jc w:val="left"/>
        <w:rPr>
          <w:rFonts w:cs="Arial"/>
        </w:rPr>
      </w:pPr>
    </w:p>
    <w:p w:rsidR="00E2507D" w:rsidP="00E2507D">
      <w:pPr>
        <w:spacing w:after="0"/>
        <w:rPr>
          <w:rFonts w:cs="Arial"/>
        </w:rPr>
      </w:pPr>
      <w:r w:rsidRPr="00711F8A">
        <w:rPr>
          <w:rFonts w:cs="Arial"/>
          <w:b/>
        </w:rPr>
        <w:t>3.4.7 Inclusion Service</w:t>
      </w:r>
      <w:r w:rsidRPr="00024A8F">
        <w:rPr>
          <w:rFonts w:cs="Arial"/>
          <w:b/>
          <w:i/>
        </w:rPr>
        <w:t xml:space="preserve"> </w:t>
      </w:r>
      <w:r w:rsidRPr="00024A8F">
        <w:rPr>
          <w:rFonts w:cs="Arial"/>
        </w:rPr>
        <w:t>overspent by £2.621m in 2019/20 an increased overspend</w:t>
      </w:r>
      <w:r>
        <w:rPr>
          <w:rFonts w:cs="Arial"/>
        </w:rPr>
        <w:t xml:space="preserve"> of £441</w:t>
      </w:r>
      <w:r w:rsidRPr="00024A8F">
        <w:rPr>
          <w:rFonts w:cs="Arial"/>
        </w:rPr>
        <w:t>,000 against that reported at quarter 3</w:t>
      </w:r>
      <w:r>
        <w:rPr>
          <w:rFonts w:cs="Arial"/>
        </w:rPr>
        <w:t xml:space="preserve">. </w:t>
      </w:r>
      <w:r w:rsidRPr="00C61A99">
        <w:rPr>
          <w:rFonts w:cs="Arial"/>
        </w:rPr>
        <w:t xml:space="preserve">The full year overspend is predominantly as a result of </w:t>
      </w:r>
      <w:r>
        <w:rPr>
          <w:rFonts w:cs="Arial"/>
        </w:rPr>
        <w:t>children with disabilities (C</w:t>
      </w:r>
      <w:r w:rsidRPr="00C61A99">
        <w:rPr>
          <w:rFonts w:cs="Arial"/>
        </w:rPr>
        <w:t>wD</w:t>
      </w:r>
      <w:r>
        <w:rPr>
          <w:rFonts w:cs="Arial"/>
        </w:rPr>
        <w:t>)</w:t>
      </w:r>
      <w:r w:rsidRPr="00C61A99">
        <w:rPr>
          <w:rFonts w:cs="Arial"/>
        </w:rPr>
        <w:t xml:space="preserve"> placements (which includes residential and fosteri</w:t>
      </w:r>
      <w:r>
        <w:rPr>
          <w:rFonts w:cs="Arial"/>
        </w:rPr>
        <w:t>ng placements) and Cw</w:t>
      </w:r>
      <w:r w:rsidRPr="00C61A99">
        <w:rPr>
          <w:rFonts w:cs="Arial"/>
        </w:rPr>
        <w:t xml:space="preserve">D family support which overspent by £2.425m due to increases in demand.  </w:t>
      </w:r>
      <w:r>
        <w:rPr>
          <w:rFonts w:cs="Arial"/>
        </w:rPr>
        <w:t xml:space="preserve">The variance from quarter 3 is </w:t>
      </w:r>
      <w:r w:rsidRPr="00024A8F">
        <w:rPr>
          <w:rFonts w:cs="Arial"/>
        </w:rPr>
        <w:t xml:space="preserve">as a result of CwD family support and placement costs with additional costs materialising in latter part of the financial year, offset by a reduction in </w:t>
      </w:r>
      <w:r w:rsidRPr="00024A8F">
        <w:rPr>
          <w:rFonts w:cs="Arial"/>
          <w:color w:val="auto"/>
        </w:rPr>
        <w:t>(CwD)</w:t>
      </w:r>
      <w:r w:rsidRPr="00024A8F">
        <w:rPr>
          <w:rFonts w:cs="Arial"/>
          <w:color w:val="auto"/>
          <w:sz w:val="22"/>
          <w:szCs w:val="22"/>
        </w:rPr>
        <w:t xml:space="preserve"> </w:t>
      </w:r>
      <w:r w:rsidRPr="00024A8F">
        <w:rPr>
          <w:rFonts w:cs="Arial"/>
        </w:rPr>
        <w:t>Direct Payments.</w:t>
      </w:r>
    </w:p>
    <w:p w:rsidR="00E2507D" w:rsidP="00E2507D">
      <w:pPr>
        <w:spacing w:after="0"/>
        <w:rPr>
          <w:rFonts w:cs="Arial"/>
        </w:rPr>
      </w:pPr>
    </w:p>
    <w:p w:rsidR="00E2507D" w:rsidRPr="006D5BE0" w:rsidP="00E2507D">
      <w:pPr>
        <w:spacing w:after="0"/>
        <w:contextualSpacing/>
        <w:rPr>
          <w:rFonts w:cs="Arial"/>
          <w:highlight w:val="yellow"/>
        </w:rPr>
      </w:pPr>
      <w:r w:rsidRPr="006D5BE0">
        <w:rPr>
          <w:rFonts w:cs="Arial"/>
        </w:rPr>
        <w:t>The outturn includes contributions from the SEND Reform reserve of £917,000 in 2019/20.</w:t>
      </w:r>
    </w:p>
    <w:p w:rsidR="00E2507D" w:rsidRPr="00506BBC" w:rsidP="00E2507D">
      <w:pPr>
        <w:spacing w:after="0"/>
        <w:contextualSpacing/>
        <w:rPr>
          <w:rFonts w:cs="Arial"/>
          <w:highlight w:val="yellow"/>
        </w:rPr>
      </w:pPr>
    </w:p>
    <w:p w:rsidR="00E2507D" w:rsidRPr="00150A5A" w:rsidP="00E2507D">
      <w:pPr>
        <w:contextualSpacing/>
        <w:rPr>
          <w:rFonts w:cs="Arial"/>
          <w:bCs/>
        </w:rPr>
      </w:pPr>
      <w:r w:rsidRPr="00711F8A">
        <w:rPr>
          <w:rFonts w:cs="Arial"/>
          <w:b/>
        </w:rPr>
        <w:t>3.4.8</w:t>
      </w:r>
      <w:r w:rsidRPr="0017397C">
        <w:rPr>
          <w:rFonts w:eastAsia="Times New Roman" w:cs="Arial"/>
          <w:bCs/>
          <w:lang w:eastAsia="en-GB"/>
        </w:rPr>
        <w:t xml:space="preserve"> </w:t>
      </w:r>
      <w:r w:rsidRPr="00711F8A">
        <w:rPr>
          <w:rFonts w:cs="Arial"/>
          <w:b/>
          <w:bCs/>
        </w:rPr>
        <w:t>Libraries Museums Culture &amp; Archives</w:t>
      </w:r>
      <w:r w:rsidRPr="00150A5A">
        <w:rPr>
          <w:rFonts w:cs="Arial"/>
          <w:b/>
          <w:bCs/>
          <w:i/>
        </w:rPr>
        <w:t xml:space="preserve"> </w:t>
      </w:r>
      <w:r w:rsidRPr="00150A5A">
        <w:rPr>
          <w:rFonts w:cs="Arial"/>
          <w:bCs/>
        </w:rPr>
        <w:t xml:space="preserve">service reported an underspends of £521,000 compared with £353,000 that was reported to Cabinet at the end of Quarter 3 an additional underspend of £168,000 across a number of areas within the service.  </w:t>
      </w:r>
    </w:p>
    <w:p w:rsidR="00E2507D" w:rsidP="00E2507D">
      <w:pPr>
        <w:contextualSpacing/>
        <w:rPr>
          <w:rFonts w:cs="Arial"/>
          <w:b/>
          <w:bCs/>
          <w:i/>
          <w:highlight w:val="yellow"/>
        </w:rPr>
      </w:pPr>
    </w:p>
    <w:p w:rsidR="00E2507D" w:rsidRPr="00150A5A" w:rsidP="00E2507D">
      <w:pPr>
        <w:contextualSpacing/>
        <w:rPr>
          <w:rFonts w:cs="Arial"/>
          <w:bCs/>
        </w:rPr>
      </w:pPr>
      <w:r w:rsidRPr="00150A5A">
        <w:rPr>
          <w:rFonts w:cs="Arial"/>
          <w:bCs/>
        </w:rPr>
        <w:t xml:space="preserve">The library service underspent by £922,000, however, a significant </w:t>
      </w:r>
      <w:r>
        <w:rPr>
          <w:rFonts w:cs="Arial"/>
          <w:bCs/>
        </w:rPr>
        <w:t>portion of this is non-recurrent</w:t>
      </w:r>
      <w:r w:rsidRPr="00150A5A">
        <w:rPr>
          <w:rFonts w:cs="Arial"/>
          <w:bCs/>
        </w:rPr>
        <w:t xml:space="preserve"> </w:t>
      </w:r>
      <w:r>
        <w:rPr>
          <w:rFonts w:cs="Arial"/>
          <w:bCs/>
        </w:rPr>
        <w:t>relating to supplies and services. Some</w:t>
      </w:r>
      <w:r w:rsidRPr="00150A5A">
        <w:rPr>
          <w:rFonts w:cs="Arial"/>
          <w:bCs/>
        </w:rPr>
        <w:t xml:space="preserve"> of this underspend, has been transferred to reserves for restocking </w:t>
      </w:r>
      <w:r>
        <w:rPr>
          <w:rFonts w:cs="Arial"/>
          <w:bCs/>
        </w:rPr>
        <w:t>of a numbers of</w:t>
      </w:r>
      <w:r w:rsidRPr="00150A5A">
        <w:rPr>
          <w:rFonts w:cs="Arial"/>
          <w:bCs/>
        </w:rPr>
        <w:t xml:space="preserve"> libraries.  </w:t>
      </w:r>
      <w:r>
        <w:rPr>
          <w:rFonts w:cs="Arial"/>
          <w:bCs/>
        </w:rPr>
        <w:t>This underspend has been partially offset by overspends in outdoor education and the music service</w:t>
      </w:r>
      <w:r w:rsidRPr="00150A5A">
        <w:rPr>
          <w:rFonts w:cs="Arial"/>
          <w:bCs/>
        </w:rPr>
        <w:t xml:space="preserve"> </w:t>
      </w:r>
    </w:p>
    <w:p w:rsidR="00E2507D" w:rsidRPr="00150A5A" w:rsidP="00E2507D">
      <w:pPr>
        <w:contextualSpacing/>
        <w:rPr>
          <w:rFonts w:cs="Arial"/>
          <w:bCs/>
          <w:highlight w:val="yellow"/>
        </w:rPr>
      </w:pPr>
    </w:p>
    <w:p w:rsidR="00E2507D" w:rsidRPr="00E73CC1" w:rsidP="00E2507D">
      <w:pPr>
        <w:contextualSpacing/>
        <w:rPr>
          <w:rFonts w:cs="Arial"/>
          <w:bCs/>
        </w:rPr>
      </w:pPr>
      <w:r w:rsidRPr="00E73CC1">
        <w:rPr>
          <w:rFonts w:cs="Arial"/>
          <w:bCs/>
        </w:rPr>
        <w:t>As previously agreed by Cabinet reserves of £1.025m have been used (across both LMCA and Facilities Management) to cover budget pressures within the Museums Service including the Conservation and Collections Team and the cost of continuing to operate Queen Street Mill Museum and Helmshore Textile Museum.  In February 2020 full council agreed that budget would be reinstated to cover the cost of continuing to run the mills and maintaining the Conservation and Collections Team at current levels for the next 4 years from 2020/21 to 2023/24.</w:t>
      </w:r>
    </w:p>
    <w:p w:rsidR="00E2507D" w:rsidRPr="00E73CC1" w:rsidP="00E2507D">
      <w:pPr>
        <w:contextualSpacing/>
        <w:rPr>
          <w:rFonts w:cs="Arial"/>
          <w:bCs/>
          <w:highlight w:val="yellow"/>
        </w:rPr>
      </w:pPr>
    </w:p>
    <w:p w:rsidR="00E2507D" w:rsidRPr="00E55E23" w:rsidP="00E2507D">
      <w:pPr>
        <w:contextualSpacing/>
        <w:rPr>
          <w:rFonts w:cs="Arial"/>
          <w:b/>
          <w:i/>
        </w:rPr>
      </w:pPr>
      <w:r w:rsidRPr="00711F8A">
        <w:rPr>
          <w:rFonts w:cs="Arial"/>
          <w:b/>
        </w:rPr>
        <w:t>3.4.9 Policy, Information and Commissioning Start Well</w:t>
      </w:r>
      <w:r>
        <w:rPr>
          <w:rFonts w:cs="Arial"/>
          <w:b/>
          <w:i/>
        </w:rPr>
        <w:t xml:space="preserve"> </w:t>
      </w:r>
      <w:r>
        <w:rPr>
          <w:rFonts w:cs="Arial"/>
        </w:rPr>
        <w:t>The overspend of £27,000</w:t>
      </w:r>
      <w:r w:rsidRPr="00E73CC1">
        <w:rPr>
          <w:rFonts w:cs="Arial"/>
        </w:rPr>
        <w:t xml:space="preserve"> is no</w:t>
      </w:r>
      <w:r>
        <w:rPr>
          <w:rFonts w:cs="Arial"/>
        </w:rPr>
        <w:t>t</w:t>
      </w:r>
      <w:r w:rsidRPr="00E73CC1">
        <w:rPr>
          <w:rFonts w:cs="Arial"/>
        </w:rPr>
        <w:t xml:space="preserve"> </w:t>
      </w:r>
      <w:r>
        <w:rPr>
          <w:rFonts w:cs="Arial"/>
        </w:rPr>
        <w:t xml:space="preserve">a </w:t>
      </w:r>
      <w:r w:rsidRPr="00E73CC1">
        <w:rPr>
          <w:rFonts w:cs="Arial"/>
        </w:rPr>
        <w:t>significant</w:t>
      </w:r>
      <w:r>
        <w:rPr>
          <w:rFonts w:cs="Arial"/>
        </w:rPr>
        <w:t xml:space="preserve"> variance from budget</w:t>
      </w:r>
      <w:r w:rsidRPr="00E73CC1">
        <w:rPr>
          <w:rFonts w:cs="Arial"/>
        </w:rPr>
        <w:t xml:space="preserve"> and there has been no significant change from the forecast reported at Cabinet at the end of Quarter 3.</w:t>
      </w:r>
    </w:p>
    <w:p w:rsidR="00E2507D" w:rsidRPr="00E73CC1" w:rsidP="00E2507D">
      <w:pPr>
        <w:contextualSpacing/>
        <w:rPr>
          <w:rFonts w:cs="Arial"/>
          <w:b/>
          <w:i/>
          <w:highlight w:val="yellow"/>
        </w:rPr>
      </w:pPr>
    </w:p>
    <w:p w:rsidR="00E2507D" w:rsidRPr="00E91094" w:rsidP="00E2507D">
      <w:pPr>
        <w:spacing w:after="0"/>
        <w:rPr>
          <w:rFonts w:cs="Arial"/>
        </w:rPr>
      </w:pPr>
      <w:r w:rsidRPr="00711F8A">
        <w:rPr>
          <w:rFonts w:cs="Arial"/>
          <w:b/>
        </w:rPr>
        <w:t>3.4.10 Education and Children's Services Central Costs</w:t>
      </w:r>
      <w:r w:rsidRPr="00E91094">
        <w:rPr>
          <w:rFonts w:cs="Arial"/>
          <w:b/>
          <w:i/>
        </w:rPr>
        <w:t xml:space="preserve"> </w:t>
      </w:r>
      <w:r w:rsidRPr="00E91094">
        <w:rPr>
          <w:rFonts w:cs="Arial"/>
        </w:rPr>
        <w:t>underspent by £624,000 in 2019/20 which is an improved position by £441,000 compared</w:t>
      </w:r>
      <w:r>
        <w:rPr>
          <w:rFonts w:cs="Arial"/>
        </w:rPr>
        <w:t xml:space="preserve"> to the quarter 3 forecast. The </w:t>
      </w:r>
      <w:r w:rsidRPr="00E91094">
        <w:rPr>
          <w:rFonts w:cs="Arial"/>
        </w:rPr>
        <w:t xml:space="preserve">underspend is predominantly due to reduced premature retirement costs. </w:t>
      </w:r>
    </w:p>
    <w:p w:rsidR="00E2507D" w:rsidRPr="00506BBC" w:rsidP="00E2507D">
      <w:pPr>
        <w:contextualSpacing/>
        <w:rPr>
          <w:rFonts w:cs="Arial"/>
          <w:highlight w:val="yellow"/>
        </w:rPr>
      </w:pPr>
    </w:p>
    <w:p w:rsidR="00E2507D" w:rsidRPr="00506BBC" w:rsidP="00E2507D">
      <w:pPr>
        <w:autoSpaceDE/>
        <w:autoSpaceDN/>
        <w:adjustRightInd/>
        <w:spacing w:after="0"/>
        <w:jc w:val="left"/>
        <w:rPr>
          <w:rFonts w:eastAsiaTheme="minorHAnsi" w:cs="Times New Roman"/>
          <w:color w:val="auto"/>
          <w:sz w:val="22"/>
          <w:szCs w:val="22"/>
          <w:highlight w:val="yellow"/>
        </w:rPr>
      </w:pPr>
    </w:p>
    <w:p w:rsidR="00E2507D" w:rsidRPr="00506BBC" w:rsidP="00E2507D">
      <w:pPr>
        <w:autoSpaceDE/>
        <w:autoSpaceDN/>
        <w:adjustRightInd/>
        <w:spacing w:after="0"/>
        <w:jc w:val="left"/>
        <w:rPr>
          <w:b/>
          <w:bCs/>
          <w:highlight w:val="yellow"/>
        </w:rPr>
      </w:pPr>
    </w:p>
    <w:p w:rsidR="00E2507D" w:rsidRPr="00506BBC" w:rsidP="00E2507D">
      <w:pPr>
        <w:autoSpaceDE/>
        <w:autoSpaceDN/>
        <w:adjustRightInd/>
        <w:spacing w:after="0"/>
        <w:jc w:val="left"/>
        <w:rPr>
          <w:b/>
          <w:bCs/>
          <w:highlight w:val="yellow"/>
        </w:rPr>
      </w:pPr>
    </w:p>
    <w:p w:rsidR="00E2507D" w:rsidRPr="00506BBC" w:rsidP="00E2507D">
      <w:pPr>
        <w:autoSpaceDE/>
        <w:autoSpaceDN/>
        <w:adjustRightInd/>
        <w:spacing w:after="0"/>
        <w:jc w:val="left"/>
        <w:rPr>
          <w:b/>
          <w:bCs/>
          <w:highlight w:val="yellow"/>
        </w:rPr>
      </w:pPr>
    </w:p>
    <w:p w:rsidR="00E2507D" w:rsidRPr="00506BBC" w:rsidP="00E2507D">
      <w:pPr>
        <w:autoSpaceDE/>
        <w:autoSpaceDN/>
        <w:adjustRightInd/>
        <w:spacing w:after="0"/>
        <w:jc w:val="left"/>
        <w:rPr>
          <w:b/>
          <w:bCs/>
          <w:highlight w:val="yellow"/>
        </w:rPr>
      </w:pPr>
    </w:p>
    <w:p w:rsidR="00E2507D" w:rsidRPr="00506BBC" w:rsidP="00E2507D">
      <w:pPr>
        <w:autoSpaceDE/>
        <w:autoSpaceDN/>
        <w:adjustRightInd/>
        <w:spacing w:after="0"/>
        <w:jc w:val="left"/>
        <w:rPr>
          <w:b/>
          <w:bCs/>
          <w:highlight w:val="yellow"/>
        </w:rPr>
      </w:pPr>
    </w:p>
    <w:p w:rsidR="00E2507D" w:rsidRPr="00506BBC" w:rsidP="00E2507D">
      <w:pPr>
        <w:autoSpaceDE/>
        <w:autoSpaceDN/>
        <w:adjustRightInd/>
        <w:spacing w:after="0"/>
        <w:jc w:val="left"/>
        <w:rPr>
          <w:b/>
          <w:bCs/>
          <w:highlight w:val="yellow"/>
        </w:rPr>
      </w:pPr>
    </w:p>
    <w:p w:rsidR="00E2507D" w:rsidRPr="00506BBC" w:rsidP="00E2507D">
      <w:pPr>
        <w:autoSpaceDE/>
        <w:autoSpaceDN/>
        <w:adjustRightInd/>
        <w:spacing w:after="0"/>
        <w:jc w:val="left"/>
        <w:rPr>
          <w:b/>
          <w:bCs/>
          <w:highlight w:val="yellow"/>
        </w:rPr>
      </w:pPr>
    </w:p>
    <w:p w:rsidR="00E2507D" w:rsidRPr="00506BBC" w:rsidP="00E2507D">
      <w:pPr>
        <w:autoSpaceDE/>
        <w:autoSpaceDN/>
        <w:adjustRightInd/>
        <w:spacing w:after="0"/>
        <w:jc w:val="left"/>
        <w:rPr>
          <w:b/>
          <w:bCs/>
          <w:highlight w:val="yellow"/>
        </w:rPr>
      </w:pPr>
    </w:p>
    <w:p w:rsidR="00E2507D" w:rsidRPr="00506BBC" w:rsidP="00E2507D">
      <w:pPr>
        <w:autoSpaceDE/>
        <w:autoSpaceDN/>
        <w:adjustRightInd/>
        <w:spacing w:after="0"/>
        <w:jc w:val="left"/>
        <w:rPr>
          <w:b/>
          <w:bCs/>
          <w:highlight w:val="yellow"/>
        </w:rPr>
      </w:pPr>
    </w:p>
    <w:p w:rsidR="00E2507D" w:rsidRPr="00506BBC" w:rsidP="00E2507D">
      <w:pPr>
        <w:autoSpaceDE/>
        <w:autoSpaceDN/>
        <w:adjustRightInd/>
        <w:spacing w:after="0"/>
        <w:jc w:val="left"/>
        <w:rPr>
          <w:b/>
          <w:bCs/>
          <w:highlight w:val="yellow"/>
        </w:rPr>
      </w:pPr>
    </w:p>
    <w:p w:rsidR="00E2507D" w:rsidRPr="009D7892" w:rsidP="00E2507D">
      <w:pPr>
        <w:spacing w:after="0"/>
        <w:rPr>
          <w:rFonts w:eastAsia="Times New Roman" w:cs="Arial"/>
          <w:b/>
          <w:lang w:eastAsia="en-GB"/>
        </w:rPr>
      </w:pPr>
      <w:r w:rsidRPr="009D7892">
        <w:rPr>
          <w:rFonts w:eastAsia="Times New Roman" w:cs="Arial"/>
          <w:b/>
          <w:lang w:eastAsia="en-GB"/>
        </w:rPr>
        <w:t>3.5</w:t>
      </w:r>
      <w:r w:rsidRPr="009D7892">
        <w:rPr>
          <w:rFonts w:eastAsia="Times New Roman" w:cs="Arial"/>
          <w:b/>
          <w:lang w:eastAsia="en-GB"/>
        </w:rPr>
        <w:tab/>
      </w:r>
      <w:r w:rsidRPr="009D7892">
        <w:rPr>
          <w:rFonts w:cs="Arial"/>
          <w:b/>
        </w:rPr>
        <w:t>Growth, Environment and Planning</w:t>
      </w:r>
    </w:p>
    <w:p w:rsidR="00E2507D" w:rsidRPr="00506BBC" w:rsidP="00E2507D">
      <w:pPr>
        <w:spacing w:after="0"/>
        <w:rPr>
          <w:rFonts w:cs="Arial"/>
          <w:b/>
          <w:highlight w:val="yellow"/>
          <w:u w:val="single"/>
        </w:rPr>
      </w:pPr>
    </w:p>
    <w:tbl>
      <w:tblPr>
        <w:tblW w:w="9351" w:type="dxa"/>
        <w:tblLayout w:type="fixed"/>
        <w:tblLook w:val="04A0"/>
      </w:tblPr>
      <w:tblGrid>
        <w:gridCol w:w="751"/>
        <w:gridCol w:w="2141"/>
        <w:gridCol w:w="1337"/>
        <w:gridCol w:w="1126"/>
        <w:gridCol w:w="1263"/>
        <w:gridCol w:w="1315"/>
        <w:gridCol w:w="1418"/>
      </w:tblGrid>
      <w:tr w:rsidTr="00E2507D">
        <w:tblPrEx>
          <w:tblW w:w="9351" w:type="dxa"/>
          <w:tblLayout w:type="fixed"/>
          <w:tblLook w:val="04A0"/>
        </w:tblPrEx>
        <w:trPr>
          <w:trHeight w:val="659"/>
        </w:trPr>
        <w:tc>
          <w:tcPr>
            <w:tcW w:w="751" w:type="dxa"/>
            <w:tcBorders>
              <w:top w:val="single" w:sz="4" w:space="0" w:color="auto"/>
              <w:left w:val="single" w:sz="4" w:space="0" w:color="auto"/>
              <w:bottom w:val="nil"/>
              <w:right w:val="single" w:sz="4" w:space="0" w:color="auto"/>
            </w:tcBorders>
            <w:shd w:val="clear" w:color="000000" w:fill="D9D9D9"/>
            <w:vAlign w:val="center"/>
            <w:hideMark/>
          </w:tcPr>
          <w:p w:rsidR="00E2507D" w:rsidRPr="009D7892" w:rsidP="00E2507D">
            <w:pPr>
              <w:autoSpaceDE/>
              <w:autoSpaceDN/>
              <w:adjustRightInd/>
              <w:spacing w:after="0"/>
              <w:jc w:val="center"/>
              <w:rPr>
                <w:rFonts w:eastAsia="Times New Roman" w:cs="Arial"/>
                <w:b/>
                <w:bCs/>
                <w:lang w:eastAsia="en-GB"/>
              </w:rPr>
            </w:pPr>
            <w:r w:rsidRPr="009D7892">
              <w:rPr>
                <w:rFonts w:eastAsia="Times New Roman" w:cs="Arial"/>
                <w:b/>
                <w:bCs/>
                <w:lang w:eastAsia="en-GB"/>
              </w:rPr>
              <w:t>Ref</w:t>
            </w:r>
          </w:p>
        </w:tc>
        <w:tc>
          <w:tcPr>
            <w:tcW w:w="2141" w:type="dxa"/>
            <w:tcBorders>
              <w:top w:val="single" w:sz="4" w:space="0" w:color="auto"/>
              <w:left w:val="nil"/>
              <w:bottom w:val="nil"/>
              <w:right w:val="single" w:sz="4" w:space="0" w:color="auto"/>
            </w:tcBorders>
            <w:shd w:val="clear" w:color="000000" w:fill="D9D9D9"/>
            <w:vAlign w:val="center"/>
            <w:hideMark/>
          </w:tcPr>
          <w:p w:rsidR="00E2507D" w:rsidRPr="009D7892" w:rsidP="00E2507D">
            <w:pPr>
              <w:autoSpaceDE/>
              <w:autoSpaceDN/>
              <w:adjustRightInd/>
              <w:spacing w:after="0"/>
              <w:jc w:val="center"/>
              <w:rPr>
                <w:rFonts w:eastAsia="Times New Roman" w:cs="Arial"/>
                <w:b/>
                <w:bCs/>
                <w:lang w:eastAsia="en-GB"/>
              </w:rPr>
            </w:pPr>
            <w:r w:rsidRPr="009D7892">
              <w:rPr>
                <w:rFonts w:eastAsia="Times New Roman" w:cs="Arial"/>
                <w:b/>
                <w:bCs/>
                <w:lang w:eastAsia="en-GB"/>
              </w:rPr>
              <w:t>Head of Service</w:t>
            </w:r>
          </w:p>
        </w:tc>
        <w:tc>
          <w:tcPr>
            <w:tcW w:w="1337" w:type="dxa"/>
            <w:tcBorders>
              <w:top w:val="single" w:sz="4" w:space="0" w:color="auto"/>
              <w:left w:val="nil"/>
              <w:bottom w:val="nil"/>
              <w:right w:val="single" w:sz="4" w:space="0" w:color="auto"/>
            </w:tcBorders>
            <w:shd w:val="clear" w:color="000000" w:fill="D9D9D9"/>
            <w:vAlign w:val="center"/>
            <w:hideMark/>
          </w:tcPr>
          <w:p w:rsidR="00E2507D" w:rsidRPr="009D7892" w:rsidP="00E2507D">
            <w:pPr>
              <w:autoSpaceDE/>
              <w:autoSpaceDN/>
              <w:adjustRightInd/>
              <w:spacing w:after="0"/>
              <w:jc w:val="center"/>
              <w:rPr>
                <w:rFonts w:eastAsia="Times New Roman" w:cs="Arial"/>
                <w:b/>
                <w:bCs/>
                <w:lang w:eastAsia="en-GB"/>
              </w:rPr>
            </w:pPr>
            <w:r w:rsidRPr="009D7892">
              <w:rPr>
                <w:rFonts w:eastAsia="Times New Roman" w:cs="Arial"/>
                <w:b/>
                <w:bCs/>
                <w:lang w:eastAsia="en-GB"/>
              </w:rPr>
              <w:t>Approved Budget</w:t>
            </w:r>
          </w:p>
        </w:tc>
        <w:tc>
          <w:tcPr>
            <w:tcW w:w="1126" w:type="dxa"/>
            <w:tcBorders>
              <w:top w:val="single" w:sz="4" w:space="0" w:color="auto"/>
              <w:left w:val="nil"/>
              <w:bottom w:val="nil"/>
              <w:right w:val="single" w:sz="4" w:space="0" w:color="auto"/>
            </w:tcBorders>
            <w:shd w:val="clear" w:color="000000" w:fill="D9D9D9"/>
            <w:vAlign w:val="center"/>
            <w:hideMark/>
          </w:tcPr>
          <w:p w:rsidR="00E2507D" w:rsidRPr="009D7892" w:rsidP="00E2507D">
            <w:pPr>
              <w:autoSpaceDE/>
              <w:autoSpaceDN/>
              <w:adjustRightInd/>
              <w:spacing w:after="0"/>
              <w:jc w:val="center"/>
              <w:rPr>
                <w:rFonts w:eastAsia="Times New Roman" w:cs="Arial"/>
                <w:b/>
                <w:bCs/>
                <w:lang w:eastAsia="en-GB"/>
              </w:rPr>
            </w:pPr>
            <w:r w:rsidRPr="009D7892">
              <w:rPr>
                <w:rFonts w:eastAsia="Times New Roman" w:cs="Arial"/>
                <w:b/>
                <w:bCs/>
                <w:lang w:eastAsia="en-GB"/>
              </w:rPr>
              <w:t>Outturn</w:t>
            </w:r>
          </w:p>
        </w:tc>
        <w:tc>
          <w:tcPr>
            <w:tcW w:w="1263" w:type="dxa"/>
            <w:tcBorders>
              <w:top w:val="single" w:sz="4" w:space="0" w:color="auto"/>
              <w:left w:val="nil"/>
              <w:bottom w:val="nil"/>
              <w:right w:val="single" w:sz="4" w:space="0" w:color="auto"/>
            </w:tcBorders>
            <w:shd w:val="clear" w:color="000000" w:fill="D9D9D9"/>
            <w:vAlign w:val="center"/>
            <w:hideMark/>
          </w:tcPr>
          <w:p w:rsidR="00E2507D" w:rsidRPr="009D7892" w:rsidP="00E2507D">
            <w:pPr>
              <w:autoSpaceDE/>
              <w:autoSpaceDN/>
              <w:adjustRightInd/>
              <w:spacing w:after="0"/>
              <w:jc w:val="center"/>
              <w:rPr>
                <w:rFonts w:eastAsia="Times New Roman" w:cs="Arial"/>
                <w:b/>
                <w:bCs/>
                <w:lang w:eastAsia="en-GB"/>
              </w:rPr>
            </w:pPr>
            <w:r w:rsidRPr="009D7892">
              <w:rPr>
                <w:rFonts w:eastAsia="Times New Roman" w:cs="Arial"/>
                <w:b/>
                <w:bCs/>
                <w:lang w:eastAsia="en-GB"/>
              </w:rPr>
              <w:t>Outturn Variance</w:t>
            </w:r>
          </w:p>
        </w:tc>
        <w:tc>
          <w:tcPr>
            <w:tcW w:w="1315" w:type="dxa"/>
            <w:tcBorders>
              <w:top w:val="single" w:sz="4" w:space="0" w:color="auto"/>
              <w:left w:val="nil"/>
              <w:bottom w:val="nil"/>
              <w:right w:val="single" w:sz="4" w:space="0" w:color="auto"/>
            </w:tcBorders>
            <w:shd w:val="clear" w:color="000000" w:fill="D9D9D9"/>
            <w:vAlign w:val="center"/>
          </w:tcPr>
          <w:p w:rsidR="00E2507D" w:rsidRPr="009D7892" w:rsidP="00E2507D">
            <w:pPr>
              <w:autoSpaceDE/>
              <w:autoSpaceDN/>
              <w:adjustRightInd/>
              <w:spacing w:after="0"/>
              <w:jc w:val="center"/>
              <w:rPr>
                <w:rFonts w:eastAsia="Times New Roman" w:cs="Arial"/>
                <w:b/>
                <w:bCs/>
                <w:lang w:eastAsia="en-GB"/>
              </w:rPr>
            </w:pPr>
            <w:r w:rsidRPr="009D7892">
              <w:rPr>
                <w:rFonts w:eastAsia="Times New Roman" w:cs="Arial"/>
                <w:b/>
                <w:bCs/>
                <w:lang w:eastAsia="en-GB"/>
              </w:rPr>
              <w:t>Outturn Variance</w:t>
            </w:r>
          </w:p>
        </w:tc>
        <w:tc>
          <w:tcPr>
            <w:tcW w:w="1418" w:type="dxa"/>
            <w:tcBorders>
              <w:top w:val="single" w:sz="4" w:space="0" w:color="auto"/>
              <w:left w:val="single" w:sz="4" w:space="0" w:color="auto"/>
              <w:bottom w:val="nil"/>
              <w:right w:val="single" w:sz="4" w:space="0" w:color="auto"/>
            </w:tcBorders>
            <w:shd w:val="clear" w:color="000000" w:fill="D9D9D9"/>
            <w:vAlign w:val="center"/>
            <w:hideMark/>
          </w:tcPr>
          <w:p w:rsidR="00E2507D" w:rsidRPr="009D7892" w:rsidP="00E2507D">
            <w:pPr>
              <w:autoSpaceDE/>
              <w:autoSpaceDN/>
              <w:adjustRightInd/>
              <w:spacing w:after="0"/>
              <w:jc w:val="center"/>
              <w:rPr>
                <w:rFonts w:eastAsia="Times New Roman" w:cs="Arial"/>
                <w:b/>
                <w:bCs/>
                <w:lang w:eastAsia="en-GB"/>
              </w:rPr>
            </w:pPr>
            <w:r w:rsidRPr="009D7892">
              <w:rPr>
                <w:rFonts w:eastAsia="Times New Roman" w:cs="Arial"/>
                <w:b/>
                <w:bCs/>
                <w:lang w:eastAsia="en-GB"/>
              </w:rPr>
              <w:t>Quarter 3 Forecast Variance</w:t>
            </w:r>
          </w:p>
        </w:tc>
      </w:tr>
      <w:tr w:rsidTr="00E2507D">
        <w:tblPrEx>
          <w:tblW w:w="9351" w:type="dxa"/>
          <w:tblLayout w:type="fixed"/>
          <w:tblLook w:val="04A0"/>
        </w:tblPrEx>
        <w:trPr>
          <w:trHeight w:val="283"/>
        </w:trPr>
        <w:tc>
          <w:tcPr>
            <w:tcW w:w="751" w:type="dxa"/>
            <w:tcBorders>
              <w:top w:val="nil"/>
              <w:left w:val="single" w:sz="4" w:space="0" w:color="auto"/>
              <w:bottom w:val="single" w:sz="4" w:space="0" w:color="auto"/>
              <w:right w:val="single" w:sz="4" w:space="0" w:color="auto"/>
            </w:tcBorders>
            <w:shd w:val="clear" w:color="000000" w:fill="D9D9D9"/>
            <w:vAlign w:val="bottom"/>
            <w:hideMark/>
          </w:tcPr>
          <w:p w:rsidR="00E2507D" w:rsidRPr="009D7892" w:rsidP="00E2507D">
            <w:pPr>
              <w:autoSpaceDE/>
              <w:autoSpaceDN/>
              <w:adjustRightInd/>
              <w:spacing w:after="0"/>
              <w:jc w:val="center"/>
              <w:rPr>
                <w:rFonts w:eastAsia="Times New Roman" w:cs="Arial"/>
                <w:b/>
                <w:bCs/>
                <w:lang w:eastAsia="en-GB"/>
              </w:rPr>
            </w:pPr>
            <w:r w:rsidRPr="009D7892">
              <w:rPr>
                <w:rFonts w:eastAsia="Times New Roman" w:cs="Arial"/>
                <w:b/>
                <w:bCs/>
                <w:lang w:eastAsia="en-GB"/>
              </w:rPr>
              <w:t> </w:t>
            </w:r>
          </w:p>
        </w:tc>
        <w:tc>
          <w:tcPr>
            <w:tcW w:w="2141" w:type="dxa"/>
            <w:tcBorders>
              <w:top w:val="nil"/>
              <w:left w:val="nil"/>
              <w:bottom w:val="single" w:sz="4" w:space="0" w:color="auto"/>
              <w:right w:val="single" w:sz="4" w:space="0" w:color="auto"/>
            </w:tcBorders>
            <w:shd w:val="clear" w:color="000000" w:fill="D9D9D9"/>
            <w:vAlign w:val="bottom"/>
            <w:hideMark/>
          </w:tcPr>
          <w:p w:rsidR="00E2507D" w:rsidRPr="009D7892" w:rsidP="00E2507D">
            <w:pPr>
              <w:autoSpaceDE/>
              <w:autoSpaceDN/>
              <w:adjustRightInd/>
              <w:spacing w:after="0"/>
              <w:jc w:val="center"/>
              <w:rPr>
                <w:rFonts w:eastAsia="Times New Roman" w:cs="Arial"/>
                <w:b/>
                <w:bCs/>
                <w:lang w:eastAsia="en-GB"/>
              </w:rPr>
            </w:pPr>
            <w:r w:rsidRPr="009D7892">
              <w:rPr>
                <w:rFonts w:eastAsia="Times New Roman" w:cs="Arial"/>
                <w:b/>
                <w:bCs/>
                <w:lang w:eastAsia="en-GB"/>
              </w:rPr>
              <w:t> </w:t>
            </w:r>
          </w:p>
        </w:tc>
        <w:tc>
          <w:tcPr>
            <w:tcW w:w="1337" w:type="dxa"/>
            <w:tcBorders>
              <w:top w:val="nil"/>
              <w:left w:val="nil"/>
              <w:bottom w:val="single" w:sz="4" w:space="0" w:color="auto"/>
              <w:right w:val="single" w:sz="4" w:space="0" w:color="auto"/>
            </w:tcBorders>
            <w:shd w:val="clear" w:color="000000" w:fill="D9D9D9"/>
            <w:vAlign w:val="bottom"/>
            <w:hideMark/>
          </w:tcPr>
          <w:p w:rsidR="00E2507D" w:rsidRPr="009D7892" w:rsidP="00E2507D">
            <w:pPr>
              <w:autoSpaceDE/>
              <w:autoSpaceDN/>
              <w:adjustRightInd/>
              <w:spacing w:after="0"/>
              <w:jc w:val="center"/>
              <w:rPr>
                <w:rFonts w:eastAsia="Times New Roman" w:cs="Arial"/>
                <w:b/>
                <w:bCs/>
                <w:lang w:eastAsia="en-GB"/>
              </w:rPr>
            </w:pPr>
            <w:r w:rsidRPr="009D7892">
              <w:rPr>
                <w:rFonts w:eastAsia="Times New Roman" w:cs="Arial"/>
                <w:b/>
                <w:bCs/>
                <w:lang w:eastAsia="en-GB"/>
              </w:rPr>
              <w:t>£m</w:t>
            </w:r>
          </w:p>
        </w:tc>
        <w:tc>
          <w:tcPr>
            <w:tcW w:w="1126" w:type="dxa"/>
            <w:tcBorders>
              <w:top w:val="nil"/>
              <w:left w:val="nil"/>
              <w:bottom w:val="single" w:sz="4" w:space="0" w:color="auto"/>
              <w:right w:val="single" w:sz="4" w:space="0" w:color="auto"/>
            </w:tcBorders>
            <w:shd w:val="clear" w:color="000000" w:fill="D9D9D9"/>
            <w:vAlign w:val="bottom"/>
            <w:hideMark/>
          </w:tcPr>
          <w:p w:rsidR="00E2507D" w:rsidRPr="009D7892" w:rsidP="00E2507D">
            <w:pPr>
              <w:autoSpaceDE/>
              <w:autoSpaceDN/>
              <w:adjustRightInd/>
              <w:spacing w:after="0"/>
              <w:jc w:val="center"/>
              <w:rPr>
                <w:rFonts w:eastAsia="Times New Roman" w:cs="Arial"/>
                <w:b/>
                <w:bCs/>
                <w:lang w:eastAsia="en-GB"/>
              </w:rPr>
            </w:pPr>
            <w:r w:rsidRPr="009D7892">
              <w:rPr>
                <w:rFonts w:eastAsia="Times New Roman" w:cs="Arial"/>
                <w:b/>
                <w:bCs/>
                <w:lang w:eastAsia="en-GB"/>
              </w:rPr>
              <w:t>£m</w:t>
            </w:r>
          </w:p>
        </w:tc>
        <w:tc>
          <w:tcPr>
            <w:tcW w:w="1263" w:type="dxa"/>
            <w:tcBorders>
              <w:top w:val="nil"/>
              <w:left w:val="nil"/>
              <w:bottom w:val="single" w:sz="4" w:space="0" w:color="auto"/>
              <w:right w:val="single" w:sz="4" w:space="0" w:color="auto"/>
            </w:tcBorders>
            <w:shd w:val="clear" w:color="000000" w:fill="D9D9D9"/>
            <w:vAlign w:val="bottom"/>
            <w:hideMark/>
          </w:tcPr>
          <w:p w:rsidR="00E2507D" w:rsidRPr="009D7892" w:rsidP="00E2507D">
            <w:pPr>
              <w:autoSpaceDE/>
              <w:autoSpaceDN/>
              <w:adjustRightInd/>
              <w:spacing w:after="0"/>
              <w:jc w:val="center"/>
              <w:rPr>
                <w:rFonts w:eastAsia="Times New Roman" w:cs="Arial"/>
                <w:b/>
                <w:bCs/>
                <w:lang w:eastAsia="en-GB"/>
              </w:rPr>
            </w:pPr>
            <w:r w:rsidRPr="009D7892">
              <w:rPr>
                <w:rFonts w:eastAsia="Times New Roman" w:cs="Arial"/>
                <w:b/>
                <w:bCs/>
                <w:lang w:eastAsia="en-GB"/>
              </w:rPr>
              <w:t>£m</w:t>
            </w:r>
          </w:p>
        </w:tc>
        <w:tc>
          <w:tcPr>
            <w:tcW w:w="1315" w:type="dxa"/>
            <w:tcBorders>
              <w:top w:val="nil"/>
              <w:left w:val="nil"/>
              <w:bottom w:val="single" w:sz="4" w:space="0" w:color="auto"/>
              <w:right w:val="single" w:sz="4" w:space="0" w:color="auto"/>
            </w:tcBorders>
            <w:shd w:val="clear" w:color="000000" w:fill="D9D9D9"/>
            <w:vAlign w:val="bottom"/>
          </w:tcPr>
          <w:p w:rsidR="00E2507D" w:rsidRPr="009D7892" w:rsidP="00E2507D">
            <w:pPr>
              <w:autoSpaceDE/>
              <w:autoSpaceDN/>
              <w:adjustRightInd/>
              <w:spacing w:after="0"/>
              <w:jc w:val="center"/>
              <w:rPr>
                <w:rFonts w:eastAsia="Times New Roman" w:cs="Arial"/>
                <w:b/>
                <w:bCs/>
                <w:lang w:eastAsia="en-GB"/>
              </w:rPr>
            </w:pPr>
            <w:r w:rsidRPr="009D7892">
              <w:rPr>
                <w:rFonts w:eastAsia="Times New Roman" w:cs="Arial"/>
                <w:b/>
                <w:bCs/>
                <w:lang w:eastAsia="en-GB"/>
              </w:rPr>
              <w:t>%</w:t>
            </w:r>
          </w:p>
        </w:tc>
        <w:tc>
          <w:tcPr>
            <w:tcW w:w="1418" w:type="dxa"/>
            <w:tcBorders>
              <w:top w:val="nil"/>
              <w:left w:val="single" w:sz="4" w:space="0" w:color="auto"/>
              <w:bottom w:val="single" w:sz="4" w:space="0" w:color="auto"/>
              <w:right w:val="single" w:sz="4" w:space="0" w:color="auto"/>
            </w:tcBorders>
            <w:shd w:val="clear" w:color="000000" w:fill="D9D9D9"/>
            <w:vAlign w:val="bottom"/>
            <w:hideMark/>
          </w:tcPr>
          <w:p w:rsidR="00E2507D" w:rsidRPr="009D7892" w:rsidP="00E2507D">
            <w:pPr>
              <w:autoSpaceDE/>
              <w:autoSpaceDN/>
              <w:adjustRightInd/>
              <w:spacing w:after="0"/>
              <w:jc w:val="center"/>
              <w:rPr>
                <w:rFonts w:eastAsia="Times New Roman" w:cs="Arial"/>
                <w:b/>
                <w:bCs/>
                <w:lang w:eastAsia="en-GB"/>
              </w:rPr>
            </w:pPr>
            <w:r w:rsidRPr="009D7892">
              <w:rPr>
                <w:rFonts w:eastAsia="Times New Roman" w:cs="Arial"/>
                <w:b/>
                <w:bCs/>
                <w:lang w:eastAsia="en-GB"/>
              </w:rPr>
              <w:t>£m</w:t>
            </w:r>
          </w:p>
        </w:tc>
      </w:tr>
      <w:tr w:rsidTr="00E2507D">
        <w:tblPrEx>
          <w:tblW w:w="9351" w:type="dxa"/>
          <w:tblLayout w:type="fixed"/>
          <w:tblLook w:val="04A0"/>
        </w:tblPrEx>
        <w:trPr>
          <w:trHeight w:val="481"/>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E2507D" w:rsidRPr="001301AB" w:rsidP="00E2507D">
            <w:pPr>
              <w:autoSpaceDE/>
              <w:autoSpaceDN/>
              <w:adjustRightInd/>
              <w:spacing w:after="0"/>
              <w:jc w:val="center"/>
              <w:rPr>
                <w:rFonts w:eastAsia="Times New Roman" w:cs="Arial"/>
                <w:b/>
                <w:bCs/>
                <w:color w:val="auto"/>
                <w:lang w:eastAsia="en-GB"/>
              </w:rPr>
            </w:pPr>
            <w:r w:rsidRPr="001301AB">
              <w:rPr>
                <w:rFonts w:eastAsia="Times New Roman" w:cs="Arial"/>
                <w:b/>
                <w:bCs/>
                <w:color w:val="auto"/>
                <w:lang w:eastAsia="en-GB"/>
              </w:rPr>
              <w:t>3.5.1</w:t>
            </w:r>
          </w:p>
        </w:tc>
        <w:tc>
          <w:tcPr>
            <w:tcW w:w="2141" w:type="dxa"/>
            <w:tcBorders>
              <w:top w:val="nil"/>
              <w:left w:val="nil"/>
              <w:bottom w:val="single" w:sz="4" w:space="0" w:color="auto"/>
              <w:right w:val="single" w:sz="4" w:space="0" w:color="auto"/>
            </w:tcBorders>
            <w:shd w:val="clear" w:color="auto" w:fill="auto"/>
            <w:vAlign w:val="center"/>
            <w:hideMark/>
          </w:tcPr>
          <w:p w:rsidR="00E2507D" w:rsidRPr="001301AB" w:rsidP="00E2507D">
            <w:pPr>
              <w:autoSpaceDE/>
              <w:autoSpaceDN/>
              <w:adjustRightInd/>
              <w:spacing w:after="0"/>
              <w:jc w:val="left"/>
              <w:rPr>
                <w:rFonts w:eastAsia="Times New Roman" w:cs="Arial"/>
                <w:lang w:eastAsia="en-GB"/>
              </w:rPr>
            </w:pPr>
            <w:r w:rsidRPr="001301AB">
              <w:rPr>
                <w:rFonts w:eastAsia="Times New Roman" w:cs="Arial"/>
                <w:lang w:eastAsia="en-GB"/>
              </w:rPr>
              <w:t>LEP Coordination</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2507D" w:rsidRPr="001301AB" w:rsidP="00E2507D">
            <w:pPr>
              <w:autoSpaceDE/>
              <w:autoSpaceDN/>
              <w:adjustRightInd/>
              <w:spacing w:after="0"/>
              <w:jc w:val="right"/>
              <w:rPr>
                <w:rFonts w:eastAsia="Times New Roman" w:cs="Arial"/>
                <w:highlight w:val="yellow"/>
                <w:lang w:eastAsia="en-GB"/>
              </w:rPr>
            </w:pPr>
            <w:r w:rsidRPr="001301AB">
              <w:rPr>
                <w:rFonts w:eastAsia="Times New Roman" w:cs="Arial"/>
                <w:lang w:eastAsia="en-GB"/>
              </w:rPr>
              <w:t>0.250</w:t>
            </w:r>
          </w:p>
        </w:tc>
        <w:tc>
          <w:tcPr>
            <w:tcW w:w="1126" w:type="dxa"/>
            <w:tcBorders>
              <w:top w:val="single" w:sz="4" w:space="0" w:color="auto"/>
              <w:left w:val="nil"/>
              <w:bottom w:val="single" w:sz="4" w:space="0" w:color="auto"/>
              <w:right w:val="single" w:sz="4" w:space="0" w:color="auto"/>
            </w:tcBorders>
            <w:shd w:val="clear" w:color="auto" w:fill="auto"/>
            <w:vAlign w:val="center"/>
          </w:tcPr>
          <w:p w:rsidR="00E2507D" w:rsidRPr="00525B6E" w:rsidP="00E2507D">
            <w:pPr>
              <w:autoSpaceDE/>
              <w:autoSpaceDN/>
              <w:adjustRightInd/>
              <w:spacing w:after="0"/>
              <w:jc w:val="right"/>
              <w:rPr>
                <w:rFonts w:eastAsia="Times New Roman" w:cs="Arial"/>
                <w:lang w:eastAsia="en-GB"/>
              </w:rPr>
            </w:pPr>
            <w:r w:rsidRPr="00525B6E">
              <w:rPr>
                <w:rFonts w:cs="Arial"/>
              </w:rPr>
              <w:t>0.251</w:t>
            </w:r>
          </w:p>
        </w:tc>
        <w:tc>
          <w:tcPr>
            <w:tcW w:w="1263" w:type="dxa"/>
            <w:tcBorders>
              <w:top w:val="single" w:sz="4" w:space="0" w:color="auto"/>
              <w:left w:val="nil"/>
              <w:bottom w:val="single" w:sz="4" w:space="0" w:color="auto"/>
              <w:right w:val="single" w:sz="4" w:space="0" w:color="auto"/>
            </w:tcBorders>
            <w:shd w:val="clear" w:color="000000" w:fill="D9D9D9"/>
            <w:vAlign w:val="center"/>
          </w:tcPr>
          <w:p w:rsidR="00E2507D" w:rsidRPr="00525B6E" w:rsidP="00E2507D">
            <w:pPr>
              <w:autoSpaceDE/>
              <w:autoSpaceDN/>
              <w:adjustRightInd/>
              <w:spacing w:after="0"/>
              <w:jc w:val="right"/>
              <w:rPr>
                <w:rFonts w:eastAsia="Times New Roman" w:cs="Arial"/>
                <w:lang w:eastAsia="en-GB"/>
              </w:rPr>
            </w:pPr>
            <w:r w:rsidRPr="00525B6E">
              <w:rPr>
                <w:rFonts w:cs="Arial"/>
              </w:rPr>
              <w:t>0.001</w:t>
            </w:r>
          </w:p>
        </w:tc>
        <w:tc>
          <w:tcPr>
            <w:tcW w:w="1315" w:type="dxa"/>
            <w:tcBorders>
              <w:top w:val="single" w:sz="4" w:space="0" w:color="auto"/>
              <w:left w:val="single" w:sz="4" w:space="0" w:color="auto"/>
              <w:bottom w:val="single" w:sz="4" w:space="0" w:color="auto"/>
              <w:right w:val="single" w:sz="4" w:space="0" w:color="auto"/>
            </w:tcBorders>
            <w:vAlign w:val="center"/>
          </w:tcPr>
          <w:p w:rsidR="00E2507D" w:rsidRPr="00525B6E" w:rsidP="00E2507D">
            <w:pPr>
              <w:autoSpaceDE/>
              <w:autoSpaceDN/>
              <w:adjustRightInd/>
              <w:spacing w:after="0"/>
              <w:jc w:val="right"/>
              <w:rPr>
                <w:rFonts w:cs="Arial"/>
              </w:rPr>
            </w:pPr>
            <w:r w:rsidRPr="00525B6E">
              <w:rPr>
                <w:rFonts w:cs="Arial"/>
              </w:rPr>
              <w:t>0.40%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2507D" w:rsidRPr="00525B6E" w:rsidP="00E2507D">
            <w:pPr>
              <w:autoSpaceDE/>
              <w:autoSpaceDN/>
              <w:adjustRightInd/>
              <w:spacing w:after="0"/>
              <w:jc w:val="right"/>
              <w:rPr>
                <w:rFonts w:eastAsia="Times New Roman" w:cs="Arial"/>
                <w:lang w:eastAsia="en-GB"/>
              </w:rPr>
            </w:pPr>
            <w:r w:rsidRPr="00525B6E">
              <w:rPr>
                <w:rFonts w:cs="Arial"/>
              </w:rPr>
              <w:t>0.000</w:t>
            </w:r>
          </w:p>
        </w:tc>
      </w:tr>
      <w:tr w:rsidTr="00E2507D">
        <w:tblPrEx>
          <w:tblW w:w="9351" w:type="dxa"/>
          <w:tblLayout w:type="fixed"/>
          <w:tblLook w:val="04A0"/>
        </w:tblPrEx>
        <w:trPr>
          <w:trHeight w:val="481"/>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E2507D" w:rsidRPr="001301AB" w:rsidP="00E2507D">
            <w:pPr>
              <w:autoSpaceDE/>
              <w:autoSpaceDN/>
              <w:adjustRightInd/>
              <w:spacing w:after="0"/>
              <w:jc w:val="center"/>
              <w:rPr>
                <w:rFonts w:eastAsia="Times New Roman" w:cs="Arial"/>
                <w:b/>
                <w:bCs/>
                <w:color w:val="auto"/>
                <w:lang w:eastAsia="en-GB"/>
              </w:rPr>
            </w:pPr>
            <w:r w:rsidRPr="001301AB">
              <w:rPr>
                <w:rFonts w:eastAsia="Times New Roman" w:cs="Arial"/>
                <w:b/>
                <w:bCs/>
                <w:color w:val="auto"/>
                <w:lang w:eastAsia="en-GB"/>
              </w:rPr>
              <w:t>3.5.2</w:t>
            </w:r>
          </w:p>
        </w:tc>
        <w:tc>
          <w:tcPr>
            <w:tcW w:w="2141" w:type="dxa"/>
            <w:tcBorders>
              <w:top w:val="nil"/>
              <w:left w:val="nil"/>
              <w:bottom w:val="single" w:sz="4" w:space="0" w:color="auto"/>
              <w:right w:val="single" w:sz="4" w:space="0" w:color="auto"/>
            </w:tcBorders>
            <w:shd w:val="clear" w:color="auto" w:fill="auto"/>
            <w:vAlign w:val="center"/>
            <w:hideMark/>
          </w:tcPr>
          <w:p w:rsidR="00E2507D" w:rsidRPr="001301AB" w:rsidP="00E2507D">
            <w:pPr>
              <w:autoSpaceDE/>
              <w:autoSpaceDN/>
              <w:adjustRightInd/>
              <w:spacing w:after="0"/>
              <w:jc w:val="left"/>
              <w:rPr>
                <w:rFonts w:eastAsia="Times New Roman" w:cs="Arial"/>
                <w:lang w:eastAsia="en-GB"/>
              </w:rPr>
            </w:pPr>
            <w:r w:rsidRPr="001301AB">
              <w:rPr>
                <w:rFonts w:eastAsia="Times New Roman" w:cs="Arial"/>
                <w:lang w:eastAsia="en-GB"/>
              </w:rPr>
              <w:t>Business Growth</w:t>
            </w:r>
          </w:p>
        </w:tc>
        <w:tc>
          <w:tcPr>
            <w:tcW w:w="1337" w:type="dxa"/>
            <w:tcBorders>
              <w:top w:val="nil"/>
              <w:left w:val="single" w:sz="4" w:space="0" w:color="auto"/>
              <w:bottom w:val="single" w:sz="4" w:space="0" w:color="auto"/>
              <w:right w:val="single" w:sz="4" w:space="0" w:color="auto"/>
            </w:tcBorders>
            <w:shd w:val="clear" w:color="auto" w:fill="auto"/>
            <w:vAlign w:val="center"/>
          </w:tcPr>
          <w:p w:rsidR="00E2507D" w:rsidRPr="001301AB" w:rsidP="00E2507D">
            <w:pPr>
              <w:autoSpaceDE/>
              <w:autoSpaceDN/>
              <w:adjustRightInd/>
              <w:spacing w:after="0"/>
              <w:jc w:val="right"/>
              <w:rPr>
                <w:rFonts w:eastAsia="Times New Roman" w:cs="Arial"/>
                <w:highlight w:val="yellow"/>
                <w:lang w:eastAsia="en-GB"/>
              </w:rPr>
            </w:pPr>
            <w:r w:rsidRPr="001301AB">
              <w:rPr>
                <w:rFonts w:eastAsia="Times New Roman" w:cs="Arial"/>
                <w:lang w:eastAsia="en-GB"/>
              </w:rPr>
              <w:t>1.573</w:t>
            </w:r>
          </w:p>
        </w:tc>
        <w:tc>
          <w:tcPr>
            <w:tcW w:w="1126" w:type="dxa"/>
            <w:tcBorders>
              <w:top w:val="nil"/>
              <w:left w:val="nil"/>
              <w:bottom w:val="single" w:sz="4" w:space="0" w:color="auto"/>
              <w:right w:val="single" w:sz="4" w:space="0" w:color="auto"/>
            </w:tcBorders>
            <w:shd w:val="clear" w:color="auto" w:fill="auto"/>
            <w:vAlign w:val="center"/>
          </w:tcPr>
          <w:p w:rsidR="00E2507D" w:rsidRPr="00525B6E" w:rsidP="00E2507D">
            <w:pPr>
              <w:autoSpaceDE/>
              <w:autoSpaceDN/>
              <w:adjustRightInd/>
              <w:spacing w:after="0"/>
              <w:jc w:val="right"/>
              <w:rPr>
                <w:rFonts w:eastAsia="Times New Roman" w:cs="Arial"/>
                <w:lang w:eastAsia="en-GB"/>
              </w:rPr>
            </w:pPr>
            <w:r w:rsidRPr="00525B6E">
              <w:rPr>
                <w:rFonts w:cs="Arial"/>
              </w:rPr>
              <w:t>1.340</w:t>
            </w:r>
          </w:p>
        </w:tc>
        <w:tc>
          <w:tcPr>
            <w:tcW w:w="1263" w:type="dxa"/>
            <w:tcBorders>
              <w:top w:val="nil"/>
              <w:left w:val="nil"/>
              <w:bottom w:val="single" w:sz="4" w:space="0" w:color="auto"/>
              <w:right w:val="single" w:sz="4" w:space="0" w:color="auto"/>
            </w:tcBorders>
            <w:shd w:val="clear" w:color="000000" w:fill="D9D9D9"/>
            <w:vAlign w:val="center"/>
          </w:tcPr>
          <w:p w:rsidR="00E2507D" w:rsidRPr="00525B6E" w:rsidP="00E2507D">
            <w:pPr>
              <w:autoSpaceDE/>
              <w:autoSpaceDN/>
              <w:adjustRightInd/>
              <w:spacing w:after="0"/>
              <w:jc w:val="right"/>
              <w:rPr>
                <w:rFonts w:eastAsia="Times New Roman" w:cs="Arial"/>
                <w:lang w:eastAsia="en-GB"/>
              </w:rPr>
            </w:pPr>
            <w:r w:rsidRPr="00525B6E">
              <w:rPr>
                <w:rFonts w:cs="Arial"/>
              </w:rPr>
              <w:t>-0.233</w:t>
            </w:r>
          </w:p>
        </w:tc>
        <w:tc>
          <w:tcPr>
            <w:tcW w:w="1315" w:type="dxa"/>
            <w:tcBorders>
              <w:top w:val="nil"/>
              <w:left w:val="single" w:sz="4" w:space="0" w:color="auto"/>
              <w:bottom w:val="single" w:sz="4" w:space="0" w:color="auto"/>
              <w:right w:val="single" w:sz="4" w:space="0" w:color="auto"/>
            </w:tcBorders>
            <w:vAlign w:val="center"/>
          </w:tcPr>
          <w:p w:rsidR="00E2507D" w:rsidRPr="00525B6E" w:rsidP="00E2507D">
            <w:pPr>
              <w:autoSpaceDE/>
              <w:autoSpaceDN/>
              <w:adjustRightInd/>
              <w:spacing w:after="0"/>
              <w:jc w:val="right"/>
              <w:rPr>
                <w:rFonts w:cs="Arial"/>
              </w:rPr>
            </w:pPr>
            <w:r w:rsidRPr="00525B6E">
              <w:rPr>
                <w:rFonts w:cs="Arial"/>
              </w:rPr>
              <w:t>-14.81%</w:t>
            </w:r>
          </w:p>
        </w:tc>
        <w:tc>
          <w:tcPr>
            <w:tcW w:w="1418" w:type="dxa"/>
            <w:tcBorders>
              <w:top w:val="nil"/>
              <w:left w:val="single" w:sz="4" w:space="0" w:color="auto"/>
              <w:bottom w:val="single" w:sz="4" w:space="0" w:color="auto"/>
              <w:right w:val="single" w:sz="4" w:space="0" w:color="auto"/>
            </w:tcBorders>
            <w:shd w:val="clear" w:color="auto" w:fill="auto"/>
            <w:vAlign w:val="center"/>
          </w:tcPr>
          <w:p w:rsidR="00E2507D" w:rsidRPr="00525B6E" w:rsidP="00E2507D">
            <w:pPr>
              <w:autoSpaceDE/>
              <w:autoSpaceDN/>
              <w:adjustRightInd/>
              <w:spacing w:after="0"/>
              <w:jc w:val="right"/>
              <w:rPr>
                <w:rFonts w:eastAsia="Times New Roman" w:cs="Arial"/>
                <w:lang w:eastAsia="en-GB"/>
              </w:rPr>
            </w:pPr>
            <w:r w:rsidRPr="00525B6E">
              <w:rPr>
                <w:rFonts w:cs="Arial"/>
              </w:rPr>
              <w:t>-0.280</w:t>
            </w:r>
          </w:p>
        </w:tc>
      </w:tr>
      <w:tr w:rsidTr="00E2507D">
        <w:tblPrEx>
          <w:tblW w:w="9351" w:type="dxa"/>
          <w:tblLayout w:type="fixed"/>
          <w:tblLook w:val="04A0"/>
        </w:tblPrEx>
        <w:trPr>
          <w:trHeight w:val="481"/>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E2507D" w:rsidRPr="001301AB" w:rsidP="00E2507D">
            <w:pPr>
              <w:autoSpaceDE/>
              <w:autoSpaceDN/>
              <w:adjustRightInd/>
              <w:spacing w:after="0"/>
              <w:jc w:val="center"/>
              <w:rPr>
                <w:rFonts w:eastAsia="Times New Roman" w:cs="Arial"/>
                <w:b/>
                <w:bCs/>
                <w:color w:val="auto"/>
                <w:lang w:eastAsia="en-GB"/>
              </w:rPr>
            </w:pPr>
            <w:r w:rsidRPr="001301AB">
              <w:rPr>
                <w:rFonts w:eastAsia="Times New Roman" w:cs="Arial"/>
                <w:b/>
                <w:bCs/>
                <w:color w:val="auto"/>
                <w:lang w:eastAsia="en-GB"/>
              </w:rPr>
              <w:t>3.5.3</w:t>
            </w:r>
          </w:p>
        </w:tc>
        <w:tc>
          <w:tcPr>
            <w:tcW w:w="2141" w:type="dxa"/>
            <w:tcBorders>
              <w:top w:val="nil"/>
              <w:left w:val="nil"/>
              <w:bottom w:val="single" w:sz="4" w:space="0" w:color="auto"/>
              <w:right w:val="single" w:sz="4" w:space="0" w:color="auto"/>
            </w:tcBorders>
            <w:shd w:val="clear" w:color="auto" w:fill="auto"/>
            <w:vAlign w:val="center"/>
            <w:hideMark/>
          </w:tcPr>
          <w:p w:rsidR="00E2507D" w:rsidRPr="001301AB" w:rsidP="00E2507D">
            <w:pPr>
              <w:autoSpaceDE/>
              <w:autoSpaceDN/>
              <w:adjustRightInd/>
              <w:spacing w:after="0"/>
              <w:jc w:val="left"/>
              <w:rPr>
                <w:rFonts w:eastAsia="Times New Roman" w:cs="Arial"/>
                <w:lang w:eastAsia="en-GB"/>
              </w:rPr>
            </w:pPr>
            <w:r w:rsidRPr="001301AB">
              <w:rPr>
                <w:rFonts w:eastAsia="Times New Roman" w:cs="Arial"/>
                <w:lang w:eastAsia="en-GB"/>
              </w:rPr>
              <w:t>Planning &amp; Environment</w:t>
            </w:r>
          </w:p>
        </w:tc>
        <w:tc>
          <w:tcPr>
            <w:tcW w:w="1337" w:type="dxa"/>
            <w:tcBorders>
              <w:top w:val="nil"/>
              <w:left w:val="single" w:sz="4" w:space="0" w:color="auto"/>
              <w:bottom w:val="single" w:sz="4" w:space="0" w:color="auto"/>
              <w:right w:val="single" w:sz="4" w:space="0" w:color="auto"/>
            </w:tcBorders>
            <w:shd w:val="clear" w:color="auto" w:fill="auto"/>
            <w:vAlign w:val="center"/>
          </w:tcPr>
          <w:p w:rsidR="00E2507D" w:rsidRPr="001301AB" w:rsidP="00E2507D">
            <w:pPr>
              <w:autoSpaceDE/>
              <w:autoSpaceDN/>
              <w:adjustRightInd/>
              <w:spacing w:after="0"/>
              <w:jc w:val="right"/>
              <w:rPr>
                <w:rFonts w:eastAsia="Times New Roman" w:cs="Arial"/>
                <w:highlight w:val="yellow"/>
                <w:lang w:eastAsia="en-GB"/>
              </w:rPr>
            </w:pPr>
            <w:r w:rsidRPr="001301AB">
              <w:rPr>
                <w:rFonts w:eastAsia="Times New Roman" w:cs="Arial"/>
                <w:lang w:eastAsia="en-GB"/>
              </w:rPr>
              <w:t>1.498</w:t>
            </w:r>
          </w:p>
        </w:tc>
        <w:tc>
          <w:tcPr>
            <w:tcW w:w="1126" w:type="dxa"/>
            <w:tcBorders>
              <w:top w:val="nil"/>
              <w:left w:val="nil"/>
              <w:bottom w:val="single" w:sz="4" w:space="0" w:color="auto"/>
              <w:right w:val="single" w:sz="4" w:space="0" w:color="auto"/>
            </w:tcBorders>
            <w:shd w:val="clear" w:color="auto" w:fill="auto"/>
            <w:vAlign w:val="center"/>
          </w:tcPr>
          <w:p w:rsidR="00E2507D" w:rsidRPr="00525B6E" w:rsidP="00E2507D">
            <w:pPr>
              <w:autoSpaceDE/>
              <w:autoSpaceDN/>
              <w:adjustRightInd/>
              <w:spacing w:after="0"/>
              <w:jc w:val="right"/>
              <w:rPr>
                <w:rFonts w:eastAsia="Times New Roman" w:cs="Arial"/>
                <w:lang w:eastAsia="en-GB"/>
              </w:rPr>
            </w:pPr>
            <w:r w:rsidRPr="00525B6E">
              <w:rPr>
                <w:rFonts w:cs="Arial"/>
              </w:rPr>
              <w:t>1.935</w:t>
            </w:r>
          </w:p>
        </w:tc>
        <w:tc>
          <w:tcPr>
            <w:tcW w:w="1263" w:type="dxa"/>
            <w:tcBorders>
              <w:top w:val="nil"/>
              <w:left w:val="nil"/>
              <w:bottom w:val="single" w:sz="4" w:space="0" w:color="auto"/>
              <w:right w:val="single" w:sz="4" w:space="0" w:color="auto"/>
            </w:tcBorders>
            <w:shd w:val="clear" w:color="000000" w:fill="D9D9D9"/>
            <w:vAlign w:val="center"/>
          </w:tcPr>
          <w:p w:rsidR="00E2507D" w:rsidRPr="00525B6E" w:rsidP="00E2507D">
            <w:pPr>
              <w:autoSpaceDE/>
              <w:autoSpaceDN/>
              <w:adjustRightInd/>
              <w:spacing w:after="0"/>
              <w:jc w:val="right"/>
              <w:rPr>
                <w:rFonts w:eastAsia="Times New Roman" w:cs="Arial"/>
                <w:lang w:eastAsia="en-GB"/>
              </w:rPr>
            </w:pPr>
            <w:r w:rsidRPr="00525B6E">
              <w:rPr>
                <w:rFonts w:cs="Arial"/>
              </w:rPr>
              <w:t>0.437</w:t>
            </w:r>
          </w:p>
        </w:tc>
        <w:tc>
          <w:tcPr>
            <w:tcW w:w="1315" w:type="dxa"/>
            <w:tcBorders>
              <w:top w:val="nil"/>
              <w:left w:val="single" w:sz="4" w:space="0" w:color="auto"/>
              <w:bottom w:val="single" w:sz="4" w:space="0" w:color="auto"/>
              <w:right w:val="single" w:sz="4" w:space="0" w:color="auto"/>
            </w:tcBorders>
            <w:vAlign w:val="center"/>
          </w:tcPr>
          <w:p w:rsidR="00E2507D" w:rsidRPr="00525B6E" w:rsidP="00E2507D">
            <w:pPr>
              <w:autoSpaceDE/>
              <w:autoSpaceDN/>
              <w:adjustRightInd/>
              <w:spacing w:after="0"/>
              <w:jc w:val="right"/>
              <w:rPr>
                <w:rFonts w:cs="Arial"/>
              </w:rPr>
            </w:pPr>
            <w:r w:rsidRPr="00525B6E">
              <w:rPr>
                <w:rFonts w:cs="Arial"/>
              </w:rPr>
              <w:t>29.17%</w:t>
            </w:r>
          </w:p>
        </w:tc>
        <w:tc>
          <w:tcPr>
            <w:tcW w:w="1418" w:type="dxa"/>
            <w:tcBorders>
              <w:top w:val="nil"/>
              <w:left w:val="single" w:sz="4" w:space="0" w:color="auto"/>
              <w:bottom w:val="single" w:sz="4" w:space="0" w:color="auto"/>
              <w:right w:val="single" w:sz="4" w:space="0" w:color="auto"/>
            </w:tcBorders>
            <w:shd w:val="clear" w:color="auto" w:fill="auto"/>
            <w:vAlign w:val="center"/>
          </w:tcPr>
          <w:p w:rsidR="00E2507D" w:rsidRPr="00525B6E" w:rsidP="00E2507D">
            <w:pPr>
              <w:autoSpaceDE/>
              <w:autoSpaceDN/>
              <w:adjustRightInd/>
              <w:spacing w:after="0"/>
              <w:jc w:val="right"/>
              <w:rPr>
                <w:rFonts w:eastAsia="Times New Roman" w:cs="Arial"/>
                <w:lang w:eastAsia="en-GB"/>
              </w:rPr>
            </w:pPr>
            <w:r w:rsidRPr="00525B6E">
              <w:rPr>
                <w:rFonts w:cs="Arial"/>
              </w:rPr>
              <w:t>0.404</w:t>
            </w:r>
          </w:p>
        </w:tc>
      </w:tr>
      <w:tr w:rsidTr="00E2507D">
        <w:tblPrEx>
          <w:tblW w:w="9351" w:type="dxa"/>
          <w:tblLayout w:type="fixed"/>
          <w:tblLook w:val="04A0"/>
        </w:tblPrEx>
        <w:trPr>
          <w:trHeight w:val="423"/>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E2507D" w:rsidRPr="001301AB" w:rsidP="00E2507D">
            <w:pPr>
              <w:autoSpaceDE/>
              <w:autoSpaceDN/>
              <w:adjustRightInd/>
              <w:spacing w:after="0"/>
              <w:jc w:val="center"/>
              <w:rPr>
                <w:rFonts w:eastAsia="Times New Roman" w:cs="Arial"/>
                <w:b/>
                <w:bCs/>
                <w:color w:val="auto"/>
                <w:lang w:eastAsia="en-GB"/>
              </w:rPr>
            </w:pPr>
            <w:r w:rsidRPr="001301AB">
              <w:rPr>
                <w:rFonts w:eastAsia="Times New Roman" w:cs="Arial"/>
                <w:b/>
                <w:bCs/>
                <w:color w:val="auto"/>
                <w:lang w:eastAsia="en-GB"/>
              </w:rPr>
              <w:t>3.5.4</w:t>
            </w:r>
          </w:p>
        </w:tc>
        <w:tc>
          <w:tcPr>
            <w:tcW w:w="2141" w:type="dxa"/>
            <w:tcBorders>
              <w:top w:val="nil"/>
              <w:left w:val="nil"/>
              <w:bottom w:val="single" w:sz="4" w:space="0" w:color="auto"/>
              <w:right w:val="single" w:sz="4" w:space="0" w:color="auto"/>
            </w:tcBorders>
            <w:shd w:val="clear" w:color="auto" w:fill="auto"/>
            <w:vAlign w:val="center"/>
            <w:hideMark/>
          </w:tcPr>
          <w:p w:rsidR="00E2507D" w:rsidRPr="001301AB" w:rsidP="00E2507D">
            <w:pPr>
              <w:autoSpaceDE/>
              <w:autoSpaceDN/>
              <w:adjustRightInd/>
              <w:spacing w:after="0"/>
              <w:jc w:val="left"/>
              <w:rPr>
                <w:rFonts w:eastAsia="Times New Roman" w:cs="Arial"/>
                <w:lang w:eastAsia="en-GB"/>
              </w:rPr>
            </w:pPr>
            <w:r w:rsidRPr="001301AB">
              <w:rPr>
                <w:rFonts w:eastAsia="Times New Roman" w:cs="Arial"/>
                <w:lang w:eastAsia="en-GB"/>
              </w:rPr>
              <w:t>Estates</w:t>
            </w:r>
          </w:p>
        </w:tc>
        <w:tc>
          <w:tcPr>
            <w:tcW w:w="1337" w:type="dxa"/>
            <w:tcBorders>
              <w:top w:val="nil"/>
              <w:left w:val="single" w:sz="4" w:space="0" w:color="auto"/>
              <w:bottom w:val="single" w:sz="4" w:space="0" w:color="auto"/>
              <w:right w:val="single" w:sz="4" w:space="0" w:color="auto"/>
            </w:tcBorders>
            <w:shd w:val="clear" w:color="auto" w:fill="auto"/>
            <w:vAlign w:val="center"/>
          </w:tcPr>
          <w:p w:rsidR="00E2507D" w:rsidRPr="001301AB" w:rsidP="00E2507D">
            <w:pPr>
              <w:autoSpaceDE/>
              <w:autoSpaceDN/>
              <w:adjustRightInd/>
              <w:spacing w:after="0"/>
              <w:jc w:val="right"/>
              <w:rPr>
                <w:rFonts w:eastAsia="Times New Roman" w:cs="Arial"/>
                <w:highlight w:val="yellow"/>
                <w:lang w:eastAsia="en-GB"/>
              </w:rPr>
            </w:pPr>
            <w:r w:rsidRPr="001301AB">
              <w:rPr>
                <w:rFonts w:eastAsia="Times New Roman" w:cs="Arial"/>
                <w:lang w:eastAsia="en-GB"/>
              </w:rPr>
              <w:t>0.531</w:t>
            </w:r>
          </w:p>
        </w:tc>
        <w:tc>
          <w:tcPr>
            <w:tcW w:w="1126" w:type="dxa"/>
            <w:tcBorders>
              <w:top w:val="nil"/>
              <w:left w:val="nil"/>
              <w:bottom w:val="single" w:sz="4" w:space="0" w:color="auto"/>
              <w:right w:val="single" w:sz="4" w:space="0" w:color="auto"/>
            </w:tcBorders>
            <w:shd w:val="clear" w:color="auto" w:fill="auto"/>
            <w:vAlign w:val="center"/>
          </w:tcPr>
          <w:p w:rsidR="00E2507D" w:rsidRPr="00525B6E" w:rsidP="00E2507D">
            <w:pPr>
              <w:autoSpaceDE/>
              <w:autoSpaceDN/>
              <w:adjustRightInd/>
              <w:spacing w:after="0"/>
              <w:jc w:val="right"/>
              <w:rPr>
                <w:rFonts w:eastAsia="Times New Roman" w:cs="Arial"/>
                <w:lang w:eastAsia="en-GB"/>
              </w:rPr>
            </w:pPr>
            <w:r w:rsidRPr="00525B6E">
              <w:rPr>
                <w:rFonts w:cs="Arial"/>
              </w:rPr>
              <w:t>0.220</w:t>
            </w:r>
          </w:p>
        </w:tc>
        <w:tc>
          <w:tcPr>
            <w:tcW w:w="1263" w:type="dxa"/>
            <w:tcBorders>
              <w:top w:val="nil"/>
              <w:left w:val="nil"/>
              <w:bottom w:val="single" w:sz="4" w:space="0" w:color="auto"/>
              <w:right w:val="single" w:sz="4" w:space="0" w:color="auto"/>
            </w:tcBorders>
            <w:shd w:val="clear" w:color="000000" w:fill="D9D9D9"/>
            <w:vAlign w:val="center"/>
          </w:tcPr>
          <w:p w:rsidR="00E2507D" w:rsidRPr="00525B6E" w:rsidP="00E2507D">
            <w:pPr>
              <w:autoSpaceDE/>
              <w:autoSpaceDN/>
              <w:adjustRightInd/>
              <w:spacing w:after="0"/>
              <w:jc w:val="right"/>
              <w:rPr>
                <w:rFonts w:eastAsia="Times New Roman" w:cs="Arial"/>
                <w:lang w:eastAsia="en-GB"/>
              </w:rPr>
            </w:pPr>
            <w:r w:rsidRPr="00525B6E">
              <w:rPr>
                <w:rFonts w:cs="Arial"/>
              </w:rPr>
              <w:t>-0.311</w:t>
            </w:r>
          </w:p>
        </w:tc>
        <w:tc>
          <w:tcPr>
            <w:tcW w:w="1315" w:type="dxa"/>
            <w:tcBorders>
              <w:top w:val="nil"/>
              <w:left w:val="single" w:sz="4" w:space="0" w:color="auto"/>
              <w:bottom w:val="single" w:sz="4" w:space="0" w:color="auto"/>
              <w:right w:val="single" w:sz="4" w:space="0" w:color="auto"/>
            </w:tcBorders>
            <w:vAlign w:val="center"/>
          </w:tcPr>
          <w:p w:rsidR="00E2507D" w:rsidRPr="00525B6E" w:rsidP="00E2507D">
            <w:pPr>
              <w:autoSpaceDE/>
              <w:autoSpaceDN/>
              <w:adjustRightInd/>
              <w:spacing w:after="0"/>
              <w:jc w:val="right"/>
              <w:rPr>
                <w:rFonts w:cs="Arial"/>
              </w:rPr>
            </w:pPr>
            <w:r w:rsidRPr="00525B6E">
              <w:rPr>
                <w:rFonts w:cs="Arial"/>
              </w:rPr>
              <w:t>-58.57%</w:t>
            </w:r>
          </w:p>
        </w:tc>
        <w:tc>
          <w:tcPr>
            <w:tcW w:w="1418" w:type="dxa"/>
            <w:tcBorders>
              <w:top w:val="nil"/>
              <w:left w:val="single" w:sz="4" w:space="0" w:color="auto"/>
              <w:bottom w:val="single" w:sz="4" w:space="0" w:color="auto"/>
              <w:right w:val="single" w:sz="4" w:space="0" w:color="auto"/>
            </w:tcBorders>
            <w:shd w:val="clear" w:color="auto" w:fill="auto"/>
            <w:vAlign w:val="center"/>
          </w:tcPr>
          <w:p w:rsidR="00E2507D" w:rsidRPr="00525B6E" w:rsidP="00E2507D">
            <w:pPr>
              <w:autoSpaceDE/>
              <w:autoSpaceDN/>
              <w:adjustRightInd/>
              <w:spacing w:after="0"/>
              <w:jc w:val="right"/>
              <w:rPr>
                <w:rFonts w:eastAsia="Times New Roman" w:cs="Arial"/>
                <w:lang w:eastAsia="en-GB"/>
              </w:rPr>
            </w:pPr>
            <w:r w:rsidRPr="00525B6E">
              <w:rPr>
                <w:rFonts w:cs="Arial"/>
              </w:rPr>
              <w:t>-0.188</w:t>
            </w:r>
          </w:p>
        </w:tc>
      </w:tr>
      <w:tr w:rsidTr="00E2507D">
        <w:tblPrEx>
          <w:tblW w:w="9351" w:type="dxa"/>
          <w:tblLayout w:type="fixed"/>
          <w:tblLook w:val="04A0"/>
        </w:tblPrEx>
        <w:trPr>
          <w:trHeight w:val="481"/>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E2507D" w:rsidRPr="001301AB" w:rsidP="00E2507D">
            <w:pPr>
              <w:autoSpaceDE/>
              <w:autoSpaceDN/>
              <w:adjustRightInd/>
              <w:spacing w:after="0"/>
              <w:jc w:val="center"/>
              <w:rPr>
                <w:rFonts w:eastAsia="Times New Roman" w:cs="Arial"/>
                <w:b/>
                <w:bCs/>
                <w:color w:val="auto"/>
                <w:lang w:eastAsia="en-GB"/>
              </w:rPr>
            </w:pPr>
            <w:r w:rsidRPr="001301AB">
              <w:rPr>
                <w:rFonts w:eastAsia="Times New Roman" w:cs="Arial"/>
                <w:b/>
                <w:bCs/>
                <w:color w:val="auto"/>
                <w:lang w:eastAsia="en-GB"/>
              </w:rPr>
              <w:t>3.5.5</w:t>
            </w:r>
          </w:p>
        </w:tc>
        <w:tc>
          <w:tcPr>
            <w:tcW w:w="2141" w:type="dxa"/>
            <w:tcBorders>
              <w:top w:val="nil"/>
              <w:left w:val="nil"/>
              <w:bottom w:val="single" w:sz="4" w:space="0" w:color="auto"/>
              <w:right w:val="single" w:sz="4" w:space="0" w:color="auto"/>
            </w:tcBorders>
            <w:shd w:val="clear" w:color="auto" w:fill="auto"/>
            <w:vAlign w:val="center"/>
            <w:hideMark/>
          </w:tcPr>
          <w:p w:rsidR="00E2507D" w:rsidRPr="001301AB" w:rsidP="00E2507D">
            <w:pPr>
              <w:autoSpaceDE/>
              <w:autoSpaceDN/>
              <w:adjustRightInd/>
              <w:spacing w:after="0"/>
              <w:jc w:val="left"/>
              <w:rPr>
                <w:rFonts w:eastAsia="Times New Roman" w:cs="Arial"/>
                <w:lang w:eastAsia="en-GB"/>
              </w:rPr>
            </w:pPr>
            <w:r w:rsidRPr="001301AB">
              <w:rPr>
                <w:rFonts w:eastAsia="Times New Roman" w:cs="Arial"/>
                <w:lang w:eastAsia="en-GB"/>
              </w:rPr>
              <w:t>Strategic Development</w:t>
            </w:r>
          </w:p>
        </w:tc>
        <w:tc>
          <w:tcPr>
            <w:tcW w:w="1337" w:type="dxa"/>
            <w:tcBorders>
              <w:top w:val="nil"/>
              <w:left w:val="single" w:sz="4" w:space="0" w:color="auto"/>
              <w:bottom w:val="single" w:sz="4" w:space="0" w:color="auto"/>
              <w:right w:val="single" w:sz="4" w:space="0" w:color="auto"/>
            </w:tcBorders>
            <w:shd w:val="clear" w:color="auto" w:fill="auto"/>
            <w:vAlign w:val="center"/>
          </w:tcPr>
          <w:p w:rsidR="00E2507D" w:rsidRPr="001301AB" w:rsidP="00E2507D">
            <w:pPr>
              <w:autoSpaceDE/>
              <w:autoSpaceDN/>
              <w:adjustRightInd/>
              <w:spacing w:after="0"/>
              <w:jc w:val="right"/>
              <w:rPr>
                <w:rFonts w:eastAsia="Times New Roman" w:cs="Arial"/>
                <w:highlight w:val="yellow"/>
                <w:lang w:eastAsia="en-GB"/>
              </w:rPr>
            </w:pPr>
            <w:r w:rsidRPr="001301AB">
              <w:rPr>
                <w:rFonts w:eastAsia="Times New Roman" w:cs="Arial"/>
                <w:lang w:eastAsia="en-GB"/>
              </w:rPr>
              <w:t>0.409</w:t>
            </w:r>
          </w:p>
        </w:tc>
        <w:tc>
          <w:tcPr>
            <w:tcW w:w="1126" w:type="dxa"/>
            <w:tcBorders>
              <w:top w:val="nil"/>
              <w:left w:val="nil"/>
              <w:bottom w:val="single" w:sz="4" w:space="0" w:color="auto"/>
              <w:right w:val="single" w:sz="4" w:space="0" w:color="auto"/>
            </w:tcBorders>
            <w:shd w:val="clear" w:color="auto" w:fill="auto"/>
            <w:vAlign w:val="center"/>
          </w:tcPr>
          <w:p w:rsidR="00E2507D" w:rsidRPr="00525B6E" w:rsidP="00E2507D">
            <w:pPr>
              <w:autoSpaceDE/>
              <w:autoSpaceDN/>
              <w:adjustRightInd/>
              <w:spacing w:after="0"/>
              <w:jc w:val="right"/>
              <w:rPr>
                <w:rFonts w:eastAsia="Times New Roman" w:cs="Arial"/>
                <w:lang w:eastAsia="en-GB"/>
              </w:rPr>
            </w:pPr>
            <w:r w:rsidRPr="00525B6E">
              <w:rPr>
                <w:rFonts w:cs="Arial"/>
              </w:rPr>
              <w:t>0.399</w:t>
            </w:r>
          </w:p>
        </w:tc>
        <w:tc>
          <w:tcPr>
            <w:tcW w:w="1263" w:type="dxa"/>
            <w:tcBorders>
              <w:top w:val="nil"/>
              <w:left w:val="nil"/>
              <w:bottom w:val="single" w:sz="4" w:space="0" w:color="auto"/>
              <w:right w:val="single" w:sz="4" w:space="0" w:color="auto"/>
            </w:tcBorders>
            <w:shd w:val="clear" w:color="000000" w:fill="D9D9D9"/>
            <w:vAlign w:val="center"/>
          </w:tcPr>
          <w:p w:rsidR="00E2507D" w:rsidRPr="00525B6E" w:rsidP="00E2507D">
            <w:pPr>
              <w:autoSpaceDE/>
              <w:autoSpaceDN/>
              <w:adjustRightInd/>
              <w:spacing w:after="0"/>
              <w:jc w:val="right"/>
              <w:rPr>
                <w:rFonts w:eastAsia="Times New Roman" w:cs="Arial"/>
                <w:lang w:eastAsia="en-GB"/>
              </w:rPr>
            </w:pPr>
            <w:r w:rsidRPr="00525B6E">
              <w:rPr>
                <w:rFonts w:cs="Arial"/>
              </w:rPr>
              <w:t>-0.010</w:t>
            </w:r>
          </w:p>
        </w:tc>
        <w:tc>
          <w:tcPr>
            <w:tcW w:w="1315" w:type="dxa"/>
            <w:tcBorders>
              <w:top w:val="nil"/>
              <w:left w:val="single" w:sz="4" w:space="0" w:color="auto"/>
              <w:bottom w:val="single" w:sz="4" w:space="0" w:color="auto"/>
              <w:right w:val="single" w:sz="4" w:space="0" w:color="auto"/>
            </w:tcBorders>
            <w:vAlign w:val="center"/>
          </w:tcPr>
          <w:p w:rsidR="00E2507D" w:rsidRPr="00525B6E" w:rsidP="00E2507D">
            <w:pPr>
              <w:autoSpaceDE/>
              <w:autoSpaceDN/>
              <w:adjustRightInd/>
              <w:spacing w:after="0"/>
              <w:jc w:val="right"/>
              <w:rPr>
                <w:rFonts w:cs="Arial"/>
              </w:rPr>
            </w:pPr>
            <w:r w:rsidRPr="00525B6E">
              <w:rPr>
                <w:rFonts w:cs="Arial"/>
              </w:rPr>
              <w:t>-2.44%</w:t>
            </w:r>
          </w:p>
        </w:tc>
        <w:tc>
          <w:tcPr>
            <w:tcW w:w="1418" w:type="dxa"/>
            <w:tcBorders>
              <w:top w:val="nil"/>
              <w:left w:val="single" w:sz="4" w:space="0" w:color="auto"/>
              <w:bottom w:val="single" w:sz="4" w:space="0" w:color="auto"/>
              <w:right w:val="single" w:sz="4" w:space="0" w:color="auto"/>
            </w:tcBorders>
            <w:shd w:val="clear" w:color="auto" w:fill="auto"/>
            <w:vAlign w:val="center"/>
          </w:tcPr>
          <w:p w:rsidR="00E2507D" w:rsidRPr="00525B6E" w:rsidP="00E2507D">
            <w:pPr>
              <w:autoSpaceDE/>
              <w:autoSpaceDN/>
              <w:adjustRightInd/>
              <w:spacing w:after="0"/>
              <w:jc w:val="right"/>
              <w:rPr>
                <w:rFonts w:eastAsia="Times New Roman" w:cs="Arial"/>
                <w:lang w:eastAsia="en-GB"/>
              </w:rPr>
            </w:pPr>
            <w:r w:rsidRPr="00525B6E">
              <w:rPr>
                <w:rFonts w:cs="Arial"/>
              </w:rPr>
              <w:t>0.030</w:t>
            </w:r>
          </w:p>
        </w:tc>
      </w:tr>
      <w:tr w:rsidTr="00E2507D">
        <w:tblPrEx>
          <w:tblW w:w="9351" w:type="dxa"/>
          <w:tblLayout w:type="fixed"/>
          <w:tblLook w:val="04A0"/>
        </w:tblPrEx>
        <w:trPr>
          <w:trHeight w:val="439"/>
        </w:trPr>
        <w:tc>
          <w:tcPr>
            <w:tcW w:w="751" w:type="dxa"/>
            <w:tcBorders>
              <w:top w:val="nil"/>
              <w:left w:val="single" w:sz="4" w:space="0" w:color="auto"/>
              <w:bottom w:val="single" w:sz="4" w:space="0" w:color="auto"/>
              <w:right w:val="single" w:sz="4" w:space="0" w:color="auto"/>
            </w:tcBorders>
            <w:shd w:val="clear" w:color="000000" w:fill="D9D9D9"/>
            <w:vAlign w:val="center"/>
            <w:hideMark/>
          </w:tcPr>
          <w:p w:rsidR="00E2507D" w:rsidRPr="001301AB" w:rsidP="00E2507D">
            <w:pPr>
              <w:autoSpaceDE/>
              <w:autoSpaceDN/>
              <w:adjustRightInd/>
              <w:spacing w:after="0"/>
              <w:jc w:val="center"/>
              <w:rPr>
                <w:rFonts w:eastAsia="Times New Roman" w:cs="Arial"/>
                <w:b/>
                <w:bCs/>
                <w:lang w:eastAsia="en-GB"/>
              </w:rPr>
            </w:pPr>
            <w:r w:rsidRPr="001301AB">
              <w:rPr>
                <w:rFonts w:eastAsia="Times New Roman" w:cs="Arial"/>
                <w:b/>
                <w:bCs/>
                <w:lang w:eastAsia="en-GB"/>
              </w:rPr>
              <w:t> </w:t>
            </w:r>
          </w:p>
        </w:tc>
        <w:tc>
          <w:tcPr>
            <w:tcW w:w="2141" w:type="dxa"/>
            <w:tcBorders>
              <w:top w:val="nil"/>
              <w:left w:val="nil"/>
              <w:bottom w:val="single" w:sz="4" w:space="0" w:color="auto"/>
              <w:right w:val="single" w:sz="4" w:space="0" w:color="auto"/>
            </w:tcBorders>
            <w:shd w:val="clear" w:color="000000" w:fill="D9D9D9"/>
            <w:vAlign w:val="center"/>
            <w:hideMark/>
          </w:tcPr>
          <w:p w:rsidR="00E2507D" w:rsidRPr="001301AB" w:rsidP="00E2507D">
            <w:pPr>
              <w:autoSpaceDE/>
              <w:autoSpaceDN/>
              <w:adjustRightInd/>
              <w:spacing w:after="0"/>
              <w:jc w:val="left"/>
              <w:rPr>
                <w:rFonts w:eastAsia="Times New Roman" w:cs="Arial"/>
                <w:b/>
                <w:bCs/>
                <w:lang w:eastAsia="en-GB"/>
              </w:rPr>
            </w:pPr>
            <w:r w:rsidRPr="001301AB">
              <w:rPr>
                <w:rFonts w:eastAsia="Times New Roman" w:cs="Arial"/>
                <w:b/>
                <w:bCs/>
                <w:lang w:eastAsia="en-GB"/>
              </w:rPr>
              <w:t>Total - Growth, Environment and Planning</w:t>
            </w:r>
          </w:p>
        </w:tc>
        <w:tc>
          <w:tcPr>
            <w:tcW w:w="1337" w:type="dxa"/>
            <w:tcBorders>
              <w:top w:val="nil"/>
              <w:left w:val="single" w:sz="4" w:space="0" w:color="auto"/>
              <w:bottom w:val="single" w:sz="4" w:space="0" w:color="auto"/>
              <w:right w:val="single" w:sz="4" w:space="0" w:color="auto"/>
            </w:tcBorders>
            <w:shd w:val="clear" w:color="000000" w:fill="D9D9D9"/>
            <w:vAlign w:val="center"/>
          </w:tcPr>
          <w:p w:rsidR="00E2507D" w:rsidRPr="001301AB" w:rsidP="00E2507D">
            <w:pPr>
              <w:autoSpaceDE/>
              <w:autoSpaceDN/>
              <w:adjustRightInd/>
              <w:spacing w:after="0"/>
              <w:jc w:val="right"/>
              <w:rPr>
                <w:rFonts w:eastAsia="Times New Roman" w:cs="Arial"/>
                <w:b/>
                <w:bCs/>
                <w:highlight w:val="yellow"/>
                <w:lang w:eastAsia="en-GB"/>
              </w:rPr>
            </w:pPr>
            <w:r w:rsidRPr="001301AB">
              <w:rPr>
                <w:rFonts w:eastAsia="Times New Roman" w:cs="Arial"/>
                <w:b/>
                <w:bCs/>
                <w:lang w:eastAsia="en-GB"/>
              </w:rPr>
              <w:t>4.261</w:t>
            </w:r>
          </w:p>
        </w:tc>
        <w:tc>
          <w:tcPr>
            <w:tcW w:w="1126" w:type="dxa"/>
            <w:tcBorders>
              <w:top w:val="nil"/>
              <w:left w:val="nil"/>
              <w:bottom w:val="single" w:sz="4" w:space="0" w:color="auto"/>
              <w:right w:val="single" w:sz="4" w:space="0" w:color="auto"/>
            </w:tcBorders>
            <w:shd w:val="clear" w:color="000000" w:fill="D9D9D9"/>
            <w:vAlign w:val="center"/>
          </w:tcPr>
          <w:p w:rsidR="00E2507D" w:rsidRPr="00525B6E" w:rsidP="00E2507D">
            <w:pPr>
              <w:autoSpaceDE/>
              <w:autoSpaceDN/>
              <w:adjustRightInd/>
              <w:spacing w:after="0"/>
              <w:jc w:val="right"/>
              <w:rPr>
                <w:rFonts w:eastAsia="Times New Roman" w:cs="Arial"/>
                <w:b/>
                <w:bCs/>
                <w:lang w:eastAsia="en-GB"/>
              </w:rPr>
            </w:pPr>
            <w:r w:rsidRPr="00525B6E">
              <w:rPr>
                <w:rFonts w:cs="Arial"/>
                <w:b/>
                <w:bCs/>
              </w:rPr>
              <w:t>4.145</w:t>
            </w:r>
          </w:p>
        </w:tc>
        <w:tc>
          <w:tcPr>
            <w:tcW w:w="1263" w:type="dxa"/>
            <w:tcBorders>
              <w:top w:val="nil"/>
              <w:left w:val="nil"/>
              <w:bottom w:val="single" w:sz="4" w:space="0" w:color="auto"/>
              <w:right w:val="single" w:sz="4" w:space="0" w:color="auto"/>
            </w:tcBorders>
            <w:shd w:val="clear" w:color="000000" w:fill="D9D9D9"/>
            <w:vAlign w:val="center"/>
          </w:tcPr>
          <w:p w:rsidR="00E2507D" w:rsidRPr="00525B6E" w:rsidP="00E2507D">
            <w:pPr>
              <w:autoSpaceDE/>
              <w:autoSpaceDN/>
              <w:adjustRightInd/>
              <w:spacing w:after="0"/>
              <w:jc w:val="right"/>
              <w:rPr>
                <w:rFonts w:eastAsia="Times New Roman" w:cs="Arial"/>
                <w:b/>
                <w:bCs/>
                <w:lang w:eastAsia="en-GB"/>
              </w:rPr>
            </w:pPr>
            <w:r w:rsidRPr="00525B6E">
              <w:rPr>
                <w:rFonts w:cs="Arial"/>
                <w:b/>
                <w:bCs/>
              </w:rPr>
              <w:t>-0.116</w:t>
            </w:r>
          </w:p>
        </w:tc>
        <w:tc>
          <w:tcPr>
            <w:tcW w:w="1315" w:type="dxa"/>
            <w:tcBorders>
              <w:top w:val="nil"/>
              <w:left w:val="single" w:sz="4" w:space="0" w:color="auto"/>
              <w:bottom w:val="single" w:sz="4" w:space="0" w:color="auto"/>
              <w:right w:val="single" w:sz="4" w:space="0" w:color="auto"/>
            </w:tcBorders>
            <w:shd w:val="clear" w:color="000000" w:fill="D9D9D9"/>
            <w:vAlign w:val="center"/>
          </w:tcPr>
          <w:p w:rsidR="00E2507D" w:rsidRPr="00525B6E" w:rsidP="00E2507D">
            <w:pPr>
              <w:autoSpaceDE/>
              <w:autoSpaceDN/>
              <w:adjustRightInd/>
              <w:spacing w:after="0"/>
              <w:jc w:val="right"/>
              <w:rPr>
                <w:rFonts w:cs="Arial"/>
                <w:b/>
                <w:bCs/>
              </w:rPr>
            </w:pPr>
            <w:r w:rsidRPr="00525B6E">
              <w:rPr>
                <w:rFonts w:cs="Arial"/>
                <w:b/>
                <w:bCs/>
              </w:rPr>
              <w:t>-2.72%</w:t>
            </w:r>
          </w:p>
        </w:tc>
        <w:tc>
          <w:tcPr>
            <w:tcW w:w="1418" w:type="dxa"/>
            <w:tcBorders>
              <w:top w:val="nil"/>
              <w:left w:val="single" w:sz="4" w:space="0" w:color="auto"/>
              <w:bottom w:val="single" w:sz="4" w:space="0" w:color="auto"/>
              <w:right w:val="single" w:sz="4" w:space="0" w:color="auto"/>
            </w:tcBorders>
            <w:shd w:val="clear" w:color="000000" w:fill="D9D9D9"/>
            <w:vAlign w:val="center"/>
          </w:tcPr>
          <w:p w:rsidR="00E2507D" w:rsidRPr="00525B6E" w:rsidP="00E2507D">
            <w:pPr>
              <w:autoSpaceDE/>
              <w:autoSpaceDN/>
              <w:adjustRightInd/>
              <w:spacing w:after="0"/>
              <w:jc w:val="right"/>
              <w:rPr>
                <w:rFonts w:eastAsia="Times New Roman" w:cs="Arial"/>
                <w:b/>
                <w:bCs/>
                <w:lang w:eastAsia="en-GB"/>
              </w:rPr>
            </w:pPr>
            <w:r w:rsidRPr="00525B6E">
              <w:rPr>
                <w:rFonts w:cs="Arial"/>
                <w:b/>
                <w:bCs/>
              </w:rPr>
              <w:t>-0.034</w:t>
            </w:r>
          </w:p>
        </w:tc>
      </w:tr>
    </w:tbl>
    <w:p w:rsidR="00E2507D" w:rsidRPr="00506BBC" w:rsidP="00E2507D">
      <w:pPr>
        <w:spacing w:after="0"/>
        <w:rPr>
          <w:rFonts w:cs="Arial"/>
          <w:b/>
          <w:highlight w:val="yellow"/>
          <w:u w:val="single"/>
        </w:rPr>
      </w:pPr>
    </w:p>
    <w:p w:rsidR="00E2507D" w:rsidRPr="00A61DB3" w:rsidP="00E2507D">
      <w:pPr>
        <w:spacing w:after="0"/>
        <w:rPr>
          <w:rFonts w:cs="Arial"/>
        </w:rPr>
      </w:pPr>
      <w:r w:rsidRPr="00A61DB3">
        <w:rPr>
          <w:rFonts w:cs="Arial"/>
        </w:rPr>
        <w:t xml:space="preserve">Growth, Environment and Planning Services have underspent by £116,000. The underspend at final </w:t>
      </w:r>
      <w:r>
        <w:rPr>
          <w:rFonts w:cs="Arial"/>
        </w:rPr>
        <w:t>outturn has increased by £82</w:t>
      </w:r>
      <w:r w:rsidRPr="00A61DB3">
        <w:rPr>
          <w:rFonts w:cs="Arial"/>
        </w:rPr>
        <w:t xml:space="preserve">,000 compared to quarter 3. </w:t>
      </w:r>
    </w:p>
    <w:p w:rsidR="00E2507D" w:rsidP="00E2507D">
      <w:pPr>
        <w:spacing w:after="0"/>
        <w:rPr>
          <w:rFonts w:cs="Arial"/>
          <w:b/>
          <w:highlight w:val="yellow"/>
          <w:u w:val="single"/>
        </w:rPr>
      </w:pPr>
    </w:p>
    <w:p w:rsidR="00E2507D" w:rsidP="00E2507D">
      <w:pPr>
        <w:spacing w:after="0"/>
        <w:rPr>
          <w:rFonts w:cs="Arial"/>
        </w:rPr>
      </w:pPr>
      <w:r w:rsidRPr="00711F8A">
        <w:rPr>
          <w:rFonts w:cs="Arial"/>
          <w:b/>
        </w:rPr>
        <w:t>3.5.1 LEP Coordination</w:t>
      </w:r>
      <w:r>
        <w:rPr>
          <w:rFonts w:cs="Arial"/>
          <w:b/>
          <w:i/>
        </w:rPr>
        <w:t xml:space="preserve"> </w:t>
      </w:r>
      <w:r w:rsidRPr="009D1A26">
        <w:rPr>
          <w:rFonts w:cs="Arial"/>
        </w:rPr>
        <w:t>has outturned on budget</w:t>
      </w:r>
    </w:p>
    <w:p w:rsidR="00E2507D" w:rsidRPr="00506BBC" w:rsidP="00E2507D">
      <w:pPr>
        <w:spacing w:after="0"/>
        <w:rPr>
          <w:rFonts w:cs="Arial"/>
          <w:b/>
          <w:highlight w:val="yellow"/>
          <w:u w:val="single"/>
        </w:rPr>
      </w:pPr>
    </w:p>
    <w:p w:rsidR="00E2507D" w:rsidRPr="004A6BE6" w:rsidP="00E2507D">
      <w:pPr>
        <w:autoSpaceDE/>
        <w:autoSpaceDN/>
        <w:adjustRightInd/>
        <w:spacing w:after="0"/>
        <w:rPr>
          <w:bCs/>
        </w:rPr>
      </w:pPr>
      <w:r w:rsidRPr="00711F8A">
        <w:rPr>
          <w:rFonts w:cs="Arial"/>
          <w:b/>
        </w:rPr>
        <w:t xml:space="preserve">3.5.2 </w:t>
      </w:r>
      <w:r w:rsidRPr="00711F8A">
        <w:rPr>
          <w:b/>
          <w:bCs/>
        </w:rPr>
        <w:t>Business Growth</w:t>
      </w:r>
      <w:r w:rsidRPr="004A6BE6">
        <w:rPr>
          <w:bCs/>
        </w:rPr>
        <w:t xml:space="preserve"> has reported </w:t>
      </w:r>
      <w:r>
        <w:rPr>
          <w:bCs/>
        </w:rPr>
        <w:t xml:space="preserve">an </w:t>
      </w:r>
      <w:r w:rsidRPr="004A6BE6">
        <w:rPr>
          <w:bCs/>
        </w:rPr>
        <w:t>u</w:t>
      </w:r>
      <w:r>
        <w:rPr>
          <w:bCs/>
        </w:rPr>
        <w:t>nderspend</w:t>
      </w:r>
      <w:r w:rsidRPr="004A6BE6">
        <w:rPr>
          <w:bCs/>
        </w:rPr>
        <w:t xml:space="preserve"> of</w:t>
      </w:r>
      <w:r>
        <w:rPr>
          <w:bCs/>
        </w:rPr>
        <w:t xml:space="preserve"> £233,000,</w:t>
      </w:r>
      <w:r w:rsidRPr="004A6BE6">
        <w:rPr>
          <w:bCs/>
        </w:rPr>
        <w:t xml:space="preserve"> £161,000 in relation to staff vacancies and £250,000 </w:t>
      </w:r>
      <w:r>
        <w:rPr>
          <w:bCs/>
        </w:rPr>
        <w:t xml:space="preserve">relating </w:t>
      </w:r>
      <w:r w:rsidRPr="004A6BE6">
        <w:rPr>
          <w:bCs/>
        </w:rPr>
        <w:t xml:space="preserve">to the Eden project which is being funded from reserves rather than revenue budget. </w:t>
      </w:r>
    </w:p>
    <w:p w:rsidR="00E2507D" w:rsidRPr="00690BE7" w:rsidP="00E2507D">
      <w:pPr>
        <w:autoSpaceDE/>
        <w:autoSpaceDN/>
        <w:adjustRightInd/>
        <w:spacing w:after="0"/>
        <w:rPr>
          <w:bCs/>
          <w:highlight w:val="yellow"/>
        </w:rPr>
      </w:pPr>
    </w:p>
    <w:p w:rsidR="00E2507D" w:rsidRPr="004A6BE6" w:rsidP="00E2507D">
      <w:pPr>
        <w:autoSpaceDE/>
        <w:autoSpaceDN/>
        <w:adjustRightInd/>
        <w:spacing w:after="0"/>
        <w:rPr>
          <w:bCs/>
        </w:rPr>
      </w:pPr>
      <w:r>
        <w:rPr>
          <w:bCs/>
        </w:rPr>
        <w:t xml:space="preserve">The underspends </w:t>
      </w:r>
      <w:r w:rsidRPr="004A6BE6">
        <w:rPr>
          <w:bCs/>
        </w:rPr>
        <w:t xml:space="preserve">were partly offset by overspends of £60,000 which relate to </w:t>
      </w:r>
      <w:r w:rsidRPr="009D1A26">
        <w:rPr>
          <w:bCs/>
        </w:rPr>
        <w:t xml:space="preserve">planned reductions in the county councils contribution </w:t>
      </w:r>
      <w:r>
        <w:rPr>
          <w:bCs/>
        </w:rPr>
        <w:t>to M</w:t>
      </w:r>
      <w:r w:rsidRPr="004A6BE6">
        <w:rPr>
          <w:bCs/>
        </w:rPr>
        <w:t xml:space="preserve">arketing Lancashire which </w:t>
      </w:r>
      <w:r>
        <w:rPr>
          <w:bCs/>
        </w:rPr>
        <w:t>was n</w:t>
      </w:r>
      <w:r w:rsidR="00711F8A">
        <w:rPr>
          <w:bCs/>
        </w:rPr>
        <w:t>o</w:t>
      </w:r>
      <w:r>
        <w:rPr>
          <w:bCs/>
        </w:rPr>
        <w:t>t implemented</w:t>
      </w:r>
      <w:r w:rsidRPr="004A6BE6">
        <w:rPr>
          <w:bCs/>
        </w:rPr>
        <w:t xml:space="preserve"> and £109,000 of additional spend on a Boost project supporting small businesses in Lancashire which used revenue budget rather than planned reserves.</w:t>
      </w:r>
    </w:p>
    <w:p w:rsidR="00E2507D" w:rsidRPr="00690BE7" w:rsidP="00E2507D">
      <w:pPr>
        <w:autoSpaceDE/>
        <w:autoSpaceDN/>
        <w:adjustRightInd/>
        <w:spacing w:after="0"/>
        <w:rPr>
          <w:bCs/>
          <w:highlight w:val="yellow"/>
        </w:rPr>
      </w:pPr>
    </w:p>
    <w:p w:rsidR="00E2507D" w:rsidRPr="004A6BE6" w:rsidP="00E2507D">
      <w:pPr>
        <w:autoSpaceDE/>
        <w:autoSpaceDN/>
        <w:adjustRightInd/>
        <w:spacing w:after="0"/>
        <w:rPr>
          <w:bCs/>
        </w:rPr>
      </w:pPr>
      <w:r w:rsidRPr="004A6BE6">
        <w:rPr>
          <w:bCs/>
        </w:rPr>
        <w:t>There are a number projects for which unspent funding of £2.910m has been transferred to reserves at the end of the financial year (see table below).</w:t>
      </w:r>
    </w:p>
    <w:p w:rsidR="00E2507D" w:rsidRPr="004A6BE6" w:rsidP="00E2507D">
      <w:pPr>
        <w:autoSpaceDE/>
        <w:autoSpaceDN/>
        <w:adjustRightInd/>
        <w:spacing w:after="0"/>
        <w:rPr>
          <w:bCs/>
        </w:rPr>
      </w:pPr>
    </w:p>
    <w:tbl>
      <w:tblPr>
        <w:tblW w:w="6091" w:type="dxa"/>
        <w:tblLook w:val="04A0"/>
      </w:tblPr>
      <w:tblGrid>
        <w:gridCol w:w="4531"/>
        <w:gridCol w:w="1560"/>
      </w:tblGrid>
      <w:tr w:rsidTr="00E2507D">
        <w:tblPrEx>
          <w:tblW w:w="6091" w:type="dxa"/>
          <w:tblLook w:val="04A0"/>
        </w:tblPrEx>
        <w:trPr>
          <w:trHeight w:val="300"/>
        </w:trPr>
        <w:tc>
          <w:tcPr>
            <w:tcW w:w="4531" w:type="dxa"/>
            <w:tcBorders>
              <w:top w:val="single" w:sz="4" w:space="0" w:color="auto"/>
              <w:left w:val="single" w:sz="4" w:space="0" w:color="auto"/>
              <w:bottom w:val="nil"/>
              <w:right w:val="single" w:sz="4" w:space="0" w:color="auto"/>
            </w:tcBorders>
            <w:shd w:val="clear" w:color="000000" w:fill="D9D9D9"/>
            <w:noWrap/>
            <w:hideMark/>
          </w:tcPr>
          <w:p w:rsidR="00E2507D" w:rsidRPr="004A6BE6" w:rsidP="00E2507D">
            <w:pPr>
              <w:autoSpaceDE/>
              <w:autoSpaceDN/>
              <w:adjustRightInd/>
              <w:spacing w:after="0"/>
              <w:rPr>
                <w:b/>
                <w:bCs/>
              </w:rPr>
            </w:pPr>
            <w:r w:rsidRPr="004A6BE6">
              <w:rPr>
                <w:b/>
                <w:bCs/>
              </w:rPr>
              <w:t>Grant/Funding</w:t>
            </w:r>
          </w:p>
        </w:tc>
        <w:tc>
          <w:tcPr>
            <w:tcW w:w="1560" w:type="dxa"/>
            <w:tcBorders>
              <w:top w:val="single" w:sz="4" w:space="0" w:color="auto"/>
              <w:left w:val="nil"/>
              <w:bottom w:val="nil"/>
              <w:right w:val="single" w:sz="4" w:space="0" w:color="auto"/>
            </w:tcBorders>
            <w:shd w:val="clear" w:color="000000" w:fill="D9D9D9"/>
            <w:hideMark/>
          </w:tcPr>
          <w:p w:rsidR="00E2507D" w:rsidRPr="004A6BE6" w:rsidP="00E2507D">
            <w:pPr>
              <w:autoSpaceDE/>
              <w:autoSpaceDN/>
              <w:adjustRightInd/>
              <w:spacing w:after="0"/>
              <w:rPr>
                <w:b/>
                <w:bCs/>
              </w:rPr>
            </w:pPr>
            <w:r w:rsidRPr="004A6BE6">
              <w:rPr>
                <w:b/>
                <w:bCs/>
              </w:rPr>
              <w:t>£</w:t>
            </w:r>
          </w:p>
        </w:tc>
      </w:tr>
      <w:tr w:rsidTr="00E2507D">
        <w:tblPrEx>
          <w:tblW w:w="6091" w:type="dxa"/>
          <w:tblLook w:val="04A0"/>
        </w:tblPrEx>
        <w:trPr>
          <w:trHeight w:val="300"/>
        </w:trPr>
        <w:tc>
          <w:tcPr>
            <w:tcW w:w="4531" w:type="dxa"/>
            <w:tcBorders>
              <w:top w:val="single" w:sz="4" w:space="0" w:color="auto"/>
              <w:left w:val="single" w:sz="4" w:space="0" w:color="auto"/>
              <w:bottom w:val="nil"/>
              <w:right w:val="single" w:sz="4" w:space="0" w:color="auto"/>
            </w:tcBorders>
            <w:shd w:val="clear" w:color="auto" w:fill="auto"/>
            <w:noWrap/>
            <w:vAlign w:val="bottom"/>
            <w:hideMark/>
          </w:tcPr>
          <w:p w:rsidR="00E2507D" w:rsidRPr="004A6BE6" w:rsidP="00E2507D">
            <w:pPr>
              <w:autoSpaceDE/>
              <w:autoSpaceDN/>
              <w:adjustRightInd/>
              <w:spacing w:after="0"/>
              <w:rPr>
                <w:bCs/>
              </w:rPr>
            </w:pPr>
            <w:r w:rsidRPr="004A6BE6">
              <w:rPr>
                <w:bCs/>
              </w:rPr>
              <w:t>BEIS Brexit Grant</w:t>
            </w:r>
          </w:p>
        </w:tc>
        <w:tc>
          <w:tcPr>
            <w:tcW w:w="1560" w:type="dxa"/>
            <w:tcBorders>
              <w:top w:val="single" w:sz="4" w:space="0" w:color="auto"/>
              <w:left w:val="nil"/>
              <w:bottom w:val="nil"/>
              <w:right w:val="single" w:sz="4" w:space="0" w:color="auto"/>
            </w:tcBorders>
            <w:shd w:val="clear" w:color="auto" w:fill="auto"/>
            <w:noWrap/>
            <w:vAlign w:val="bottom"/>
            <w:hideMark/>
          </w:tcPr>
          <w:p w:rsidR="00E2507D" w:rsidRPr="004A6BE6" w:rsidP="00E2507D">
            <w:pPr>
              <w:autoSpaceDE/>
              <w:autoSpaceDN/>
              <w:adjustRightInd/>
              <w:spacing w:after="0"/>
              <w:rPr>
                <w:bCs/>
              </w:rPr>
            </w:pPr>
            <w:r w:rsidRPr="004A6BE6">
              <w:rPr>
                <w:bCs/>
              </w:rPr>
              <w:t>19,170</w:t>
            </w:r>
          </w:p>
        </w:tc>
      </w:tr>
      <w:tr w:rsidTr="00E2507D">
        <w:tblPrEx>
          <w:tblW w:w="6091" w:type="dxa"/>
          <w:tblLook w:val="04A0"/>
        </w:tblPrEx>
        <w:trPr>
          <w:trHeight w:val="300"/>
        </w:trPr>
        <w:tc>
          <w:tcPr>
            <w:tcW w:w="4531" w:type="dxa"/>
            <w:tcBorders>
              <w:top w:val="nil"/>
              <w:left w:val="single" w:sz="4" w:space="0" w:color="auto"/>
              <w:bottom w:val="nil"/>
              <w:right w:val="single" w:sz="4" w:space="0" w:color="auto"/>
            </w:tcBorders>
            <w:shd w:val="clear" w:color="auto" w:fill="auto"/>
            <w:noWrap/>
            <w:vAlign w:val="bottom"/>
            <w:hideMark/>
          </w:tcPr>
          <w:p w:rsidR="00E2507D" w:rsidRPr="004A6BE6" w:rsidP="00E2507D">
            <w:pPr>
              <w:autoSpaceDE/>
              <w:autoSpaceDN/>
              <w:adjustRightInd/>
              <w:spacing w:after="0"/>
              <w:rPr>
                <w:bCs/>
              </w:rPr>
            </w:pPr>
            <w:r w:rsidRPr="004A6BE6">
              <w:rPr>
                <w:bCs/>
              </w:rPr>
              <w:t>Boost Match Funding</w:t>
            </w:r>
          </w:p>
        </w:tc>
        <w:tc>
          <w:tcPr>
            <w:tcW w:w="1560" w:type="dxa"/>
            <w:tcBorders>
              <w:top w:val="nil"/>
              <w:left w:val="nil"/>
              <w:bottom w:val="nil"/>
              <w:right w:val="single" w:sz="4" w:space="0" w:color="auto"/>
            </w:tcBorders>
            <w:shd w:val="clear" w:color="auto" w:fill="auto"/>
            <w:noWrap/>
            <w:vAlign w:val="bottom"/>
            <w:hideMark/>
          </w:tcPr>
          <w:p w:rsidR="00E2507D" w:rsidRPr="004A6BE6" w:rsidP="00E2507D">
            <w:pPr>
              <w:autoSpaceDE/>
              <w:autoSpaceDN/>
              <w:adjustRightInd/>
              <w:spacing w:after="0"/>
              <w:rPr>
                <w:bCs/>
              </w:rPr>
            </w:pPr>
            <w:r w:rsidRPr="004A6BE6">
              <w:rPr>
                <w:bCs/>
              </w:rPr>
              <w:t>845,810</w:t>
            </w:r>
          </w:p>
        </w:tc>
      </w:tr>
      <w:tr w:rsidTr="00E2507D">
        <w:tblPrEx>
          <w:tblW w:w="6091" w:type="dxa"/>
          <w:tblLook w:val="04A0"/>
        </w:tblPrEx>
        <w:trPr>
          <w:trHeight w:val="300"/>
        </w:trPr>
        <w:tc>
          <w:tcPr>
            <w:tcW w:w="4531" w:type="dxa"/>
            <w:tcBorders>
              <w:top w:val="nil"/>
              <w:left w:val="single" w:sz="4" w:space="0" w:color="auto"/>
              <w:bottom w:val="nil"/>
              <w:right w:val="single" w:sz="4" w:space="0" w:color="auto"/>
            </w:tcBorders>
            <w:shd w:val="clear" w:color="auto" w:fill="auto"/>
            <w:noWrap/>
            <w:vAlign w:val="bottom"/>
            <w:hideMark/>
          </w:tcPr>
          <w:p w:rsidR="00E2507D" w:rsidRPr="004A6BE6" w:rsidP="00E2507D">
            <w:pPr>
              <w:autoSpaceDE/>
              <w:autoSpaceDN/>
              <w:adjustRightInd/>
              <w:spacing w:after="0"/>
              <w:rPr>
                <w:bCs/>
              </w:rPr>
            </w:pPr>
            <w:r w:rsidRPr="004A6BE6">
              <w:rPr>
                <w:bCs/>
              </w:rPr>
              <w:t>Skills Post Funding</w:t>
            </w:r>
          </w:p>
        </w:tc>
        <w:tc>
          <w:tcPr>
            <w:tcW w:w="1560" w:type="dxa"/>
            <w:tcBorders>
              <w:top w:val="nil"/>
              <w:left w:val="nil"/>
              <w:bottom w:val="nil"/>
              <w:right w:val="single" w:sz="4" w:space="0" w:color="auto"/>
            </w:tcBorders>
            <w:shd w:val="clear" w:color="auto" w:fill="auto"/>
            <w:noWrap/>
            <w:vAlign w:val="bottom"/>
            <w:hideMark/>
          </w:tcPr>
          <w:p w:rsidR="00E2507D" w:rsidRPr="004A6BE6" w:rsidP="00E2507D">
            <w:pPr>
              <w:autoSpaceDE/>
              <w:autoSpaceDN/>
              <w:adjustRightInd/>
              <w:spacing w:after="0"/>
              <w:rPr>
                <w:bCs/>
              </w:rPr>
            </w:pPr>
            <w:r w:rsidRPr="004A6BE6">
              <w:rPr>
                <w:bCs/>
              </w:rPr>
              <w:t>8,781</w:t>
            </w:r>
          </w:p>
        </w:tc>
      </w:tr>
      <w:tr w:rsidTr="00E2507D">
        <w:tblPrEx>
          <w:tblW w:w="6091" w:type="dxa"/>
          <w:tblLook w:val="04A0"/>
        </w:tblPrEx>
        <w:trPr>
          <w:trHeight w:val="300"/>
        </w:trPr>
        <w:tc>
          <w:tcPr>
            <w:tcW w:w="4531" w:type="dxa"/>
            <w:tcBorders>
              <w:top w:val="nil"/>
              <w:left w:val="single" w:sz="4" w:space="0" w:color="auto"/>
              <w:bottom w:val="nil"/>
              <w:right w:val="single" w:sz="4" w:space="0" w:color="auto"/>
            </w:tcBorders>
            <w:shd w:val="clear" w:color="auto" w:fill="auto"/>
            <w:noWrap/>
            <w:vAlign w:val="bottom"/>
            <w:hideMark/>
          </w:tcPr>
          <w:p w:rsidR="00E2507D" w:rsidRPr="004A6BE6" w:rsidP="00E2507D">
            <w:pPr>
              <w:autoSpaceDE/>
              <w:autoSpaceDN/>
              <w:adjustRightInd/>
              <w:spacing w:after="0"/>
              <w:rPr>
                <w:bCs/>
              </w:rPr>
            </w:pPr>
            <w:r w:rsidRPr="004A6BE6">
              <w:rPr>
                <w:bCs/>
              </w:rPr>
              <w:t>Gatsby Grant</w:t>
            </w:r>
          </w:p>
        </w:tc>
        <w:tc>
          <w:tcPr>
            <w:tcW w:w="1560" w:type="dxa"/>
            <w:tcBorders>
              <w:top w:val="nil"/>
              <w:left w:val="nil"/>
              <w:bottom w:val="nil"/>
              <w:right w:val="single" w:sz="4" w:space="0" w:color="auto"/>
            </w:tcBorders>
            <w:shd w:val="clear" w:color="auto" w:fill="auto"/>
            <w:noWrap/>
            <w:vAlign w:val="bottom"/>
            <w:hideMark/>
          </w:tcPr>
          <w:p w:rsidR="00E2507D" w:rsidRPr="004A6BE6" w:rsidP="00E2507D">
            <w:pPr>
              <w:autoSpaceDE/>
              <w:autoSpaceDN/>
              <w:adjustRightInd/>
              <w:spacing w:after="0"/>
              <w:rPr>
                <w:bCs/>
              </w:rPr>
            </w:pPr>
            <w:r w:rsidRPr="004A6BE6">
              <w:rPr>
                <w:bCs/>
              </w:rPr>
              <w:t>10,934</w:t>
            </w:r>
          </w:p>
        </w:tc>
      </w:tr>
      <w:tr w:rsidTr="00E2507D">
        <w:tblPrEx>
          <w:tblW w:w="6091" w:type="dxa"/>
          <w:tblLook w:val="04A0"/>
        </w:tblPrEx>
        <w:trPr>
          <w:trHeight w:val="300"/>
        </w:trPr>
        <w:tc>
          <w:tcPr>
            <w:tcW w:w="4531" w:type="dxa"/>
            <w:tcBorders>
              <w:top w:val="nil"/>
              <w:left w:val="single" w:sz="4" w:space="0" w:color="auto"/>
              <w:bottom w:val="nil"/>
              <w:right w:val="single" w:sz="4" w:space="0" w:color="auto"/>
            </w:tcBorders>
            <w:shd w:val="clear" w:color="auto" w:fill="auto"/>
            <w:noWrap/>
            <w:vAlign w:val="bottom"/>
            <w:hideMark/>
          </w:tcPr>
          <w:p w:rsidR="00E2507D" w:rsidRPr="004A6BE6" w:rsidP="00E2507D">
            <w:pPr>
              <w:autoSpaceDE/>
              <w:autoSpaceDN/>
              <w:adjustRightInd/>
              <w:spacing w:after="0"/>
              <w:rPr>
                <w:bCs/>
              </w:rPr>
            </w:pPr>
            <w:r w:rsidRPr="004A6BE6">
              <w:rPr>
                <w:bCs/>
              </w:rPr>
              <w:t>Other Skills Funding</w:t>
            </w:r>
          </w:p>
        </w:tc>
        <w:tc>
          <w:tcPr>
            <w:tcW w:w="1560" w:type="dxa"/>
            <w:tcBorders>
              <w:top w:val="nil"/>
              <w:left w:val="nil"/>
              <w:bottom w:val="nil"/>
              <w:right w:val="single" w:sz="4" w:space="0" w:color="auto"/>
            </w:tcBorders>
            <w:shd w:val="clear" w:color="auto" w:fill="auto"/>
            <w:noWrap/>
            <w:vAlign w:val="bottom"/>
            <w:hideMark/>
          </w:tcPr>
          <w:p w:rsidR="00E2507D" w:rsidRPr="004A6BE6" w:rsidP="00E2507D">
            <w:pPr>
              <w:autoSpaceDE/>
              <w:autoSpaceDN/>
              <w:adjustRightInd/>
              <w:spacing w:after="0"/>
              <w:rPr>
                <w:bCs/>
              </w:rPr>
            </w:pPr>
            <w:r w:rsidRPr="004A6BE6">
              <w:rPr>
                <w:bCs/>
              </w:rPr>
              <w:t>4,000</w:t>
            </w:r>
          </w:p>
        </w:tc>
      </w:tr>
      <w:tr w:rsidTr="00E2507D">
        <w:tblPrEx>
          <w:tblW w:w="6091" w:type="dxa"/>
          <w:tblLook w:val="04A0"/>
        </w:tblPrEx>
        <w:trPr>
          <w:trHeight w:val="300"/>
        </w:trPr>
        <w:tc>
          <w:tcPr>
            <w:tcW w:w="4531" w:type="dxa"/>
            <w:tcBorders>
              <w:top w:val="nil"/>
              <w:left w:val="single" w:sz="4" w:space="0" w:color="auto"/>
              <w:bottom w:val="nil"/>
              <w:right w:val="single" w:sz="4" w:space="0" w:color="auto"/>
            </w:tcBorders>
            <w:shd w:val="clear" w:color="auto" w:fill="auto"/>
            <w:noWrap/>
            <w:vAlign w:val="bottom"/>
            <w:hideMark/>
          </w:tcPr>
          <w:p w:rsidR="00E2507D" w:rsidRPr="004A6BE6" w:rsidP="00E2507D">
            <w:pPr>
              <w:autoSpaceDE/>
              <w:autoSpaceDN/>
              <w:adjustRightInd/>
              <w:spacing w:after="0"/>
              <w:rPr>
                <w:bCs/>
              </w:rPr>
            </w:pPr>
            <w:r w:rsidRPr="004A6BE6">
              <w:rPr>
                <w:bCs/>
              </w:rPr>
              <w:t>Leader/RDPE Grant</w:t>
            </w:r>
          </w:p>
        </w:tc>
        <w:tc>
          <w:tcPr>
            <w:tcW w:w="1560" w:type="dxa"/>
            <w:tcBorders>
              <w:top w:val="nil"/>
              <w:left w:val="nil"/>
              <w:bottom w:val="nil"/>
              <w:right w:val="single" w:sz="4" w:space="0" w:color="auto"/>
            </w:tcBorders>
            <w:shd w:val="clear" w:color="auto" w:fill="auto"/>
            <w:noWrap/>
            <w:vAlign w:val="bottom"/>
            <w:hideMark/>
          </w:tcPr>
          <w:p w:rsidR="00E2507D" w:rsidRPr="004A6BE6" w:rsidP="00E2507D">
            <w:pPr>
              <w:autoSpaceDE/>
              <w:autoSpaceDN/>
              <w:adjustRightInd/>
              <w:spacing w:after="0"/>
              <w:rPr>
                <w:bCs/>
              </w:rPr>
            </w:pPr>
            <w:r w:rsidRPr="004A6BE6">
              <w:rPr>
                <w:bCs/>
              </w:rPr>
              <w:t>98,427</w:t>
            </w:r>
          </w:p>
        </w:tc>
      </w:tr>
      <w:tr w:rsidTr="00E2507D">
        <w:tblPrEx>
          <w:tblW w:w="6091" w:type="dxa"/>
          <w:tblLook w:val="04A0"/>
        </w:tblPrEx>
        <w:trPr>
          <w:trHeight w:val="300"/>
        </w:trPr>
        <w:tc>
          <w:tcPr>
            <w:tcW w:w="4531" w:type="dxa"/>
            <w:tcBorders>
              <w:top w:val="nil"/>
              <w:left w:val="single" w:sz="4" w:space="0" w:color="auto"/>
              <w:bottom w:val="nil"/>
              <w:right w:val="single" w:sz="4" w:space="0" w:color="auto"/>
            </w:tcBorders>
            <w:shd w:val="clear" w:color="auto" w:fill="auto"/>
            <w:noWrap/>
            <w:vAlign w:val="bottom"/>
            <w:hideMark/>
          </w:tcPr>
          <w:p w:rsidR="00E2507D" w:rsidRPr="004A6BE6" w:rsidP="00E2507D">
            <w:pPr>
              <w:autoSpaceDE/>
              <w:autoSpaceDN/>
              <w:adjustRightInd/>
              <w:spacing w:after="0"/>
              <w:rPr>
                <w:bCs/>
              </w:rPr>
            </w:pPr>
            <w:r w:rsidRPr="004A6BE6">
              <w:rPr>
                <w:bCs/>
              </w:rPr>
              <w:t>ERDF Grant</w:t>
            </w:r>
          </w:p>
        </w:tc>
        <w:tc>
          <w:tcPr>
            <w:tcW w:w="1560" w:type="dxa"/>
            <w:tcBorders>
              <w:top w:val="nil"/>
              <w:left w:val="nil"/>
              <w:bottom w:val="nil"/>
              <w:right w:val="single" w:sz="4" w:space="0" w:color="auto"/>
            </w:tcBorders>
            <w:shd w:val="clear" w:color="auto" w:fill="auto"/>
            <w:noWrap/>
            <w:vAlign w:val="bottom"/>
            <w:hideMark/>
          </w:tcPr>
          <w:p w:rsidR="00E2507D" w:rsidRPr="004A6BE6" w:rsidP="00E2507D">
            <w:pPr>
              <w:autoSpaceDE/>
              <w:autoSpaceDN/>
              <w:adjustRightInd/>
              <w:spacing w:after="0"/>
              <w:rPr>
                <w:bCs/>
              </w:rPr>
            </w:pPr>
            <w:r w:rsidRPr="004A6BE6">
              <w:rPr>
                <w:bCs/>
              </w:rPr>
              <w:t>33,536</w:t>
            </w:r>
          </w:p>
        </w:tc>
      </w:tr>
      <w:tr w:rsidTr="00E2507D">
        <w:tblPrEx>
          <w:tblW w:w="6091" w:type="dxa"/>
          <w:tblLook w:val="04A0"/>
        </w:tblPrEx>
        <w:trPr>
          <w:trHeight w:val="300"/>
        </w:trPr>
        <w:tc>
          <w:tcPr>
            <w:tcW w:w="4531" w:type="dxa"/>
            <w:tcBorders>
              <w:top w:val="nil"/>
              <w:left w:val="single" w:sz="4" w:space="0" w:color="auto"/>
              <w:bottom w:val="nil"/>
              <w:right w:val="single" w:sz="4" w:space="0" w:color="auto"/>
            </w:tcBorders>
            <w:shd w:val="clear" w:color="auto" w:fill="auto"/>
            <w:noWrap/>
            <w:vAlign w:val="bottom"/>
            <w:hideMark/>
          </w:tcPr>
          <w:p w:rsidR="00E2507D" w:rsidRPr="004A6BE6" w:rsidP="00E2507D">
            <w:pPr>
              <w:autoSpaceDE/>
              <w:autoSpaceDN/>
              <w:adjustRightInd/>
              <w:spacing w:after="0"/>
              <w:rPr>
                <w:bCs/>
              </w:rPr>
            </w:pPr>
            <w:r w:rsidRPr="004A6BE6">
              <w:rPr>
                <w:bCs/>
              </w:rPr>
              <w:t>Rural Energy Grant</w:t>
            </w:r>
          </w:p>
        </w:tc>
        <w:tc>
          <w:tcPr>
            <w:tcW w:w="1560" w:type="dxa"/>
            <w:tcBorders>
              <w:top w:val="nil"/>
              <w:left w:val="nil"/>
              <w:bottom w:val="nil"/>
              <w:right w:val="single" w:sz="4" w:space="0" w:color="auto"/>
            </w:tcBorders>
            <w:shd w:val="clear" w:color="auto" w:fill="auto"/>
            <w:noWrap/>
            <w:vAlign w:val="bottom"/>
            <w:hideMark/>
          </w:tcPr>
          <w:p w:rsidR="00E2507D" w:rsidRPr="004A6BE6" w:rsidP="00E2507D">
            <w:pPr>
              <w:autoSpaceDE/>
              <w:autoSpaceDN/>
              <w:adjustRightInd/>
              <w:spacing w:after="0"/>
              <w:rPr>
                <w:bCs/>
              </w:rPr>
            </w:pPr>
            <w:r w:rsidRPr="004A6BE6">
              <w:rPr>
                <w:bCs/>
              </w:rPr>
              <w:t>1,177,570</w:t>
            </w:r>
          </w:p>
        </w:tc>
      </w:tr>
      <w:tr w:rsidTr="00E2507D">
        <w:tblPrEx>
          <w:tblW w:w="6091" w:type="dxa"/>
          <w:tblLook w:val="04A0"/>
        </w:tblPrEx>
        <w:trPr>
          <w:trHeight w:val="300"/>
        </w:trPr>
        <w:tc>
          <w:tcPr>
            <w:tcW w:w="4531" w:type="dxa"/>
            <w:tcBorders>
              <w:top w:val="nil"/>
              <w:left w:val="single" w:sz="4" w:space="0" w:color="auto"/>
              <w:bottom w:val="nil"/>
              <w:right w:val="single" w:sz="4" w:space="0" w:color="auto"/>
            </w:tcBorders>
            <w:shd w:val="clear" w:color="auto" w:fill="auto"/>
            <w:noWrap/>
            <w:vAlign w:val="center"/>
            <w:hideMark/>
          </w:tcPr>
          <w:p w:rsidR="00E2507D" w:rsidRPr="004A6BE6" w:rsidP="00E2507D">
            <w:pPr>
              <w:autoSpaceDE/>
              <w:autoSpaceDN/>
              <w:adjustRightInd/>
              <w:spacing w:after="0"/>
              <w:rPr>
                <w:bCs/>
              </w:rPr>
            </w:pPr>
            <w:r w:rsidRPr="004A6BE6">
              <w:rPr>
                <w:bCs/>
              </w:rPr>
              <w:t>Greater Lancashire Plan</w:t>
            </w:r>
          </w:p>
        </w:tc>
        <w:tc>
          <w:tcPr>
            <w:tcW w:w="1560" w:type="dxa"/>
            <w:tcBorders>
              <w:top w:val="nil"/>
              <w:left w:val="nil"/>
              <w:bottom w:val="nil"/>
              <w:right w:val="single" w:sz="4" w:space="0" w:color="auto"/>
            </w:tcBorders>
            <w:shd w:val="clear" w:color="auto" w:fill="auto"/>
            <w:noWrap/>
            <w:vAlign w:val="center"/>
            <w:hideMark/>
          </w:tcPr>
          <w:p w:rsidR="00E2507D" w:rsidRPr="004A6BE6" w:rsidP="00E2507D">
            <w:pPr>
              <w:autoSpaceDE/>
              <w:autoSpaceDN/>
              <w:adjustRightInd/>
              <w:spacing w:after="0"/>
              <w:rPr>
                <w:bCs/>
              </w:rPr>
            </w:pPr>
            <w:r w:rsidRPr="004A6BE6">
              <w:rPr>
                <w:bCs/>
              </w:rPr>
              <w:t>312,190</w:t>
            </w:r>
          </w:p>
        </w:tc>
      </w:tr>
      <w:tr w:rsidTr="00E2507D">
        <w:tblPrEx>
          <w:tblW w:w="6091" w:type="dxa"/>
          <w:tblLook w:val="04A0"/>
        </w:tblPrEx>
        <w:trPr>
          <w:trHeight w:val="300"/>
        </w:trPr>
        <w:tc>
          <w:tcPr>
            <w:tcW w:w="4531" w:type="dxa"/>
            <w:tcBorders>
              <w:top w:val="nil"/>
              <w:left w:val="single" w:sz="4" w:space="0" w:color="auto"/>
              <w:bottom w:val="nil"/>
              <w:right w:val="single" w:sz="4" w:space="0" w:color="auto"/>
            </w:tcBorders>
            <w:shd w:val="clear" w:color="auto" w:fill="auto"/>
            <w:noWrap/>
            <w:vAlign w:val="center"/>
            <w:hideMark/>
          </w:tcPr>
          <w:p w:rsidR="00E2507D" w:rsidRPr="004A6BE6" w:rsidP="00E2507D">
            <w:pPr>
              <w:autoSpaceDE/>
              <w:autoSpaceDN/>
              <w:adjustRightInd/>
              <w:spacing w:after="0"/>
              <w:rPr>
                <w:bCs/>
              </w:rPr>
            </w:pPr>
            <w:r w:rsidRPr="004A6BE6">
              <w:rPr>
                <w:bCs/>
              </w:rPr>
              <w:t>Contribution to Marketing Lancashire</w:t>
            </w:r>
          </w:p>
        </w:tc>
        <w:tc>
          <w:tcPr>
            <w:tcW w:w="1560" w:type="dxa"/>
            <w:tcBorders>
              <w:top w:val="nil"/>
              <w:left w:val="nil"/>
              <w:bottom w:val="nil"/>
              <w:right w:val="single" w:sz="4" w:space="0" w:color="auto"/>
            </w:tcBorders>
            <w:shd w:val="clear" w:color="auto" w:fill="auto"/>
            <w:noWrap/>
            <w:vAlign w:val="center"/>
            <w:hideMark/>
          </w:tcPr>
          <w:p w:rsidR="00E2507D" w:rsidRPr="004A6BE6" w:rsidP="00E2507D">
            <w:pPr>
              <w:autoSpaceDE/>
              <w:autoSpaceDN/>
              <w:adjustRightInd/>
              <w:spacing w:after="0"/>
              <w:rPr>
                <w:bCs/>
              </w:rPr>
            </w:pPr>
            <w:r w:rsidRPr="004A6BE6">
              <w:rPr>
                <w:bCs/>
              </w:rPr>
              <w:t>400,000</w:t>
            </w:r>
          </w:p>
        </w:tc>
      </w:tr>
      <w:tr w:rsidTr="00E2507D">
        <w:tblPrEx>
          <w:tblW w:w="6091" w:type="dxa"/>
          <w:tblLook w:val="04A0"/>
        </w:tblPrEx>
        <w:trPr>
          <w:trHeight w:val="233"/>
        </w:trPr>
        <w:tc>
          <w:tcPr>
            <w:tcW w:w="453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2507D" w:rsidRPr="004A6BE6" w:rsidP="00E2507D">
            <w:pPr>
              <w:autoSpaceDE/>
              <w:autoSpaceDN/>
              <w:adjustRightInd/>
              <w:spacing w:after="0"/>
              <w:rPr>
                <w:b/>
                <w:bCs/>
              </w:rPr>
            </w:pPr>
            <w:r w:rsidRPr="004A6BE6">
              <w:rPr>
                <w:b/>
                <w:bCs/>
              </w:rPr>
              <w:t>Total</w:t>
            </w:r>
          </w:p>
        </w:tc>
        <w:tc>
          <w:tcPr>
            <w:tcW w:w="1560" w:type="dxa"/>
            <w:tcBorders>
              <w:top w:val="single" w:sz="4" w:space="0" w:color="auto"/>
              <w:left w:val="nil"/>
              <w:bottom w:val="single" w:sz="4" w:space="0" w:color="auto"/>
              <w:right w:val="single" w:sz="4" w:space="0" w:color="auto"/>
            </w:tcBorders>
            <w:shd w:val="clear" w:color="000000" w:fill="D9D9D9"/>
            <w:noWrap/>
            <w:vAlign w:val="center"/>
            <w:hideMark/>
          </w:tcPr>
          <w:p w:rsidR="00E2507D" w:rsidRPr="004A6BE6" w:rsidP="00E2507D">
            <w:pPr>
              <w:autoSpaceDE/>
              <w:autoSpaceDN/>
              <w:adjustRightInd/>
              <w:spacing w:after="0"/>
              <w:rPr>
                <w:b/>
                <w:bCs/>
              </w:rPr>
            </w:pPr>
            <w:r w:rsidRPr="004A6BE6">
              <w:rPr>
                <w:b/>
                <w:bCs/>
              </w:rPr>
              <w:t>2,910,418</w:t>
            </w:r>
          </w:p>
        </w:tc>
      </w:tr>
    </w:tbl>
    <w:p w:rsidR="00E2507D" w:rsidP="00E2507D">
      <w:pPr>
        <w:autoSpaceDE/>
        <w:autoSpaceDN/>
        <w:adjustRightInd/>
        <w:spacing w:after="0"/>
        <w:rPr>
          <w:bCs/>
        </w:rPr>
      </w:pPr>
    </w:p>
    <w:p w:rsidR="00E2507D" w:rsidP="00E2507D">
      <w:pPr>
        <w:autoSpaceDE/>
        <w:autoSpaceDN/>
        <w:adjustRightInd/>
        <w:spacing w:after="0"/>
        <w:rPr>
          <w:bCs/>
        </w:rPr>
      </w:pPr>
      <w:r w:rsidRPr="00711F8A">
        <w:rPr>
          <w:b/>
          <w:bCs/>
        </w:rPr>
        <w:t>3.5.3 Planning and environment</w:t>
      </w:r>
      <w:r>
        <w:rPr>
          <w:bCs/>
        </w:rPr>
        <w:t xml:space="preserve"> has overspent by £437,000 largely as a result of a decision to reduce the overheads charged to the Preston Western Distributor scheme. This has been reflected in the MTFS for 2020/21.The service also made an unbudgeted contribution to the Transforming Cities Bid. These pressures were partially offset by staffing underspends and additional income.</w:t>
      </w:r>
    </w:p>
    <w:p w:rsidR="00E2507D" w:rsidP="00E2507D">
      <w:pPr>
        <w:autoSpaceDE/>
        <w:autoSpaceDN/>
        <w:adjustRightInd/>
        <w:spacing w:after="0"/>
        <w:rPr>
          <w:bCs/>
        </w:rPr>
      </w:pPr>
    </w:p>
    <w:p w:rsidR="00E2507D" w:rsidP="00E2507D">
      <w:pPr>
        <w:autoSpaceDE/>
        <w:autoSpaceDN/>
        <w:adjustRightInd/>
        <w:spacing w:after="0"/>
        <w:rPr>
          <w:bCs/>
        </w:rPr>
      </w:pPr>
      <w:r w:rsidRPr="00711F8A">
        <w:rPr>
          <w:b/>
          <w:bCs/>
        </w:rPr>
        <w:t>3.5.4 Estates</w:t>
      </w:r>
      <w:r w:rsidRPr="00690BE7">
        <w:rPr>
          <w:bCs/>
        </w:rPr>
        <w:t xml:space="preserve"> </w:t>
      </w:r>
      <w:r>
        <w:rPr>
          <w:bCs/>
        </w:rPr>
        <w:t>service has underspent by £311</w:t>
      </w:r>
      <w:r w:rsidRPr="00690BE7">
        <w:rPr>
          <w:bCs/>
        </w:rPr>
        <w:t>,000 due to reduced costs on travellers' sites. In addition there is a staffing underspend and increased income across the service.</w:t>
      </w:r>
    </w:p>
    <w:p w:rsidR="00E2507D" w:rsidP="00E2507D">
      <w:pPr>
        <w:autoSpaceDE/>
        <w:autoSpaceDN/>
        <w:adjustRightInd/>
        <w:spacing w:after="0"/>
        <w:rPr>
          <w:bCs/>
        </w:rPr>
      </w:pPr>
    </w:p>
    <w:p w:rsidR="00E2507D" w:rsidRPr="009D1A26" w:rsidP="00E2507D">
      <w:pPr>
        <w:autoSpaceDE/>
        <w:autoSpaceDN/>
        <w:adjustRightInd/>
        <w:spacing w:after="0"/>
        <w:rPr>
          <w:b/>
          <w:bCs/>
          <w:i/>
        </w:rPr>
      </w:pPr>
      <w:r w:rsidRPr="00711F8A">
        <w:rPr>
          <w:b/>
          <w:bCs/>
        </w:rPr>
        <w:t>3.5.5 Strategic Development</w:t>
      </w:r>
      <w:r>
        <w:rPr>
          <w:b/>
          <w:bCs/>
          <w:i/>
        </w:rPr>
        <w:t xml:space="preserve"> </w:t>
      </w:r>
      <w:r w:rsidRPr="009D1A26">
        <w:rPr>
          <w:bCs/>
        </w:rPr>
        <w:t>has outturned on budget</w:t>
      </w:r>
      <w:r>
        <w:rPr>
          <w:b/>
          <w:bCs/>
          <w:i/>
        </w:rPr>
        <w:t xml:space="preserve">. </w:t>
      </w:r>
    </w:p>
    <w:p w:rsidR="00E2507D" w:rsidRPr="00506BBC" w:rsidP="00E2507D">
      <w:pPr>
        <w:autoSpaceDE/>
        <w:autoSpaceDN/>
        <w:adjustRightInd/>
        <w:spacing w:after="0"/>
        <w:rPr>
          <w:bCs/>
          <w:highlight w:val="yellow"/>
        </w:rPr>
      </w:pPr>
    </w:p>
    <w:p w:rsidR="00E2507D" w:rsidRPr="00506BBC" w:rsidP="00E2507D">
      <w:pPr>
        <w:autoSpaceDE/>
        <w:autoSpaceDN/>
        <w:adjustRightInd/>
        <w:spacing w:after="0"/>
        <w:rPr>
          <w:bCs/>
          <w:highlight w:val="yellow"/>
        </w:rPr>
      </w:pPr>
      <w:r w:rsidRPr="00506BBC">
        <w:rPr>
          <w:bCs/>
          <w:highlight w:val="yellow"/>
        </w:rPr>
        <w:br w:type="page"/>
      </w:r>
    </w:p>
    <w:p w:rsidR="00E2507D" w:rsidRPr="009D7892" w:rsidP="00E2507D">
      <w:pPr>
        <w:spacing w:after="0"/>
        <w:rPr>
          <w:rFonts w:eastAsia="Times New Roman" w:cs="Arial"/>
          <w:b/>
          <w:lang w:eastAsia="en-GB"/>
        </w:rPr>
      </w:pPr>
      <w:r w:rsidRPr="009D7892">
        <w:rPr>
          <w:rFonts w:eastAsia="Times New Roman" w:cs="Arial"/>
          <w:b/>
          <w:lang w:eastAsia="en-GB"/>
        </w:rPr>
        <w:t>3.6</w:t>
      </w:r>
      <w:r w:rsidRPr="009D7892">
        <w:rPr>
          <w:rFonts w:eastAsia="Times New Roman" w:cs="Arial"/>
          <w:b/>
          <w:lang w:eastAsia="en-GB"/>
        </w:rPr>
        <w:tab/>
        <w:t>Highways and Transport (including Waste Management)</w:t>
      </w:r>
    </w:p>
    <w:p w:rsidR="00E2507D" w:rsidRPr="00506BBC" w:rsidP="00E2507D">
      <w:pPr>
        <w:spacing w:after="0"/>
        <w:rPr>
          <w:rFonts w:cs="Arial"/>
          <w:highlight w:val="yellow"/>
        </w:rPr>
      </w:pPr>
    </w:p>
    <w:tbl>
      <w:tblPr>
        <w:tblW w:w="9050" w:type="dxa"/>
        <w:tblLook w:val="04A0"/>
      </w:tblPr>
      <w:tblGrid>
        <w:gridCol w:w="750"/>
        <w:gridCol w:w="2216"/>
        <w:gridCol w:w="1337"/>
        <w:gridCol w:w="1096"/>
        <w:gridCol w:w="1217"/>
        <w:gridCol w:w="1217"/>
        <w:gridCol w:w="1217"/>
      </w:tblGrid>
      <w:tr w:rsidTr="00E2507D">
        <w:tblPrEx>
          <w:tblW w:w="9050" w:type="dxa"/>
          <w:tblLook w:val="04A0"/>
        </w:tblPrEx>
        <w:trPr>
          <w:trHeight w:val="632"/>
        </w:trPr>
        <w:tc>
          <w:tcPr>
            <w:tcW w:w="750" w:type="dxa"/>
            <w:tcBorders>
              <w:top w:val="single" w:sz="4" w:space="0" w:color="auto"/>
              <w:left w:val="single" w:sz="4" w:space="0" w:color="auto"/>
              <w:bottom w:val="nil"/>
              <w:right w:val="single" w:sz="4" w:space="0" w:color="auto"/>
            </w:tcBorders>
            <w:shd w:val="clear" w:color="000000" w:fill="D9D9D9"/>
            <w:hideMark/>
          </w:tcPr>
          <w:p w:rsidR="00E2507D" w:rsidRPr="009D7892" w:rsidP="00E2507D">
            <w:pPr>
              <w:autoSpaceDE/>
              <w:autoSpaceDN/>
              <w:adjustRightInd/>
              <w:spacing w:after="0"/>
              <w:jc w:val="center"/>
              <w:rPr>
                <w:rFonts w:eastAsia="Times New Roman" w:cs="Arial"/>
                <w:b/>
                <w:bCs/>
                <w:lang w:eastAsia="en-GB"/>
              </w:rPr>
            </w:pPr>
          </w:p>
          <w:p w:rsidR="00E2507D" w:rsidRPr="009D7892" w:rsidP="00E2507D">
            <w:pPr>
              <w:autoSpaceDE/>
              <w:autoSpaceDN/>
              <w:adjustRightInd/>
              <w:spacing w:after="0"/>
              <w:jc w:val="center"/>
              <w:rPr>
                <w:rFonts w:eastAsia="Times New Roman" w:cs="Arial"/>
                <w:b/>
                <w:bCs/>
                <w:lang w:eastAsia="en-GB"/>
              </w:rPr>
            </w:pPr>
            <w:r w:rsidRPr="009D7892">
              <w:rPr>
                <w:rFonts w:eastAsia="Times New Roman" w:cs="Arial"/>
                <w:b/>
                <w:bCs/>
                <w:lang w:eastAsia="en-GB"/>
              </w:rPr>
              <w:t>Ref</w:t>
            </w:r>
          </w:p>
        </w:tc>
        <w:tc>
          <w:tcPr>
            <w:tcW w:w="2216" w:type="dxa"/>
            <w:tcBorders>
              <w:top w:val="single" w:sz="4" w:space="0" w:color="auto"/>
              <w:left w:val="nil"/>
              <w:bottom w:val="nil"/>
              <w:right w:val="single" w:sz="4" w:space="0" w:color="auto"/>
            </w:tcBorders>
            <w:shd w:val="clear" w:color="000000" w:fill="D9D9D9"/>
            <w:hideMark/>
          </w:tcPr>
          <w:p w:rsidR="00E2507D" w:rsidRPr="009D7892" w:rsidP="00E2507D">
            <w:pPr>
              <w:autoSpaceDE/>
              <w:autoSpaceDN/>
              <w:adjustRightInd/>
              <w:spacing w:after="0"/>
              <w:jc w:val="center"/>
              <w:rPr>
                <w:rFonts w:eastAsia="Times New Roman" w:cs="Arial"/>
                <w:b/>
                <w:bCs/>
                <w:lang w:eastAsia="en-GB"/>
              </w:rPr>
            </w:pPr>
          </w:p>
          <w:p w:rsidR="00E2507D" w:rsidRPr="009D7892" w:rsidP="00E2507D">
            <w:pPr>
              <w:autoSpaceDE/>
              <w:autoSpaceDN/>
              <w:adjustRightInd/>
              <w:spacing w:after="0"/>
              <w:jc w:val="center"/>
              <w:rPr>
                <w:rFonts w:eastAsia="Times New Roman" w:cs="Arial"/>
                <w:b/>
                <w:bCs/>
                <w:lang w:eastAsia="en-GB"/>
              </w:rPr>
            </w:pPr>
            <w:r w:rsidRPr="009D7892">
              <w:rPr>
                <w:rFonts w:eastAsia="Times New Roman" w:cs="Arial"/>
                <w:b/>
                <w:bCs/>
                <w:lang w:eastAsia="en-GB"/>
              </w:rPr>
              <w:t>Head of Service</w:t>
            </w:r>
          </w:p>
        </w:tc>
        <w:tc>
          <w:tcPr>
            <w:tcW w:w="1337" w:type="dxa"/>
            <w:tcBorders>
              <w:top w:val="single" w:sz="4" w:space="0" w:color="auto"/>
              <w:left w:val="nil"/>
              <w:bottom w:val="nil"/>
              <w:right w:val="single" w:sz="4" w:space="0" w:color="auto"/>
            </w:tcBorders>
            <w:shd w:val="clear" w:color="000000" w:fill="D9D9D9"/>
            <w:hideMark/>
          </w:tcPr>
          <w:p w:rsidR="00E2507D" w:rsidRPr="009D7892" w:rsidP="00E2507D">
            <w:pPr>
              <w:autoSpaceDE/>
              <w:autoSpaceDN/>
              <w:adjustRightInd/>
              <w:spacing w:after="0"/>
              <w:jc w:val="center"/>
              <w:rPr>
                <w:rFonts w:eastAsia="Times New Roman" w:cs="Arial"/>
                <w:b/>
                <w:bCs/>
                <w:lang w:eastAsia="en-GB"/>
              </w:rPr>
            </w:pPr>
            <w:r w:rsidRPr="009D7892">
              <w:rPr>
                <w:rFonts w:eastAsia="Times New Roman" w:cs="Arial"/>
                <w:b/>
                <w:bCs/>
                <w:lang w:eastAsia="en-GB"/>
              </w:rPr>
              <w:t xml:space="preserve">Approved Budget </w:t>
            </w:r>
          </w:p>
        </w:tc>
        <w:tc>
          <w:tcPr>
            <w:tcW w:w="1096" w:type="dxa"/>
            <w:tcBorders>
              <w:top w:val="single" w:sz="4" w:space="0" w:color="auto"/>
              <w:left w:val="nil"/>
              <w:bottom w:val="nil"/>
              <w:right w:val="single" w:sz="4" w:space="0" w:color="auto"/>
            </w:tcBorders>
            <w:shd w:val="clear" w:color="000000" w:fill="D9D9D9"/>
            <w:hideMark/>
          </w:tcPr>
          <w:p w:rsidR="00E2507D" w:rsidRPr="009D7892" w:rsidP="00E2507D">
            <w:pPr>
              <w:autoSpaceDE/>
              <w:autoSpaceDN/>
              <w:adjustRightInd/>
              <w:spacing w:after="0"/>
              <w:jc w:val="center"/>
              <w:rPr>
                <w:rFonts w:eastAsia="Times New Roman" w:cs="Arial"/>
                <w:b/>
                <w:bCs/>
                <w:lang w:eastAsia="en-GB"/>
              </w:rPr>
            </w:pPr>
            <w:r w:rsidRPr="009D7892">
              <w:rPr>
                <w:rFonts w:eastAsia="Times New Roman" w:cs="Arial"/>
                <w:b/>
                <w:bCs/>
                <w:lang w:eastAsia="en-GB"/>
              </w:rPr>
              <w:t xml:space="preserve">Outturn </w:t>
            </w:r>
          </w:p>
        </w:tc>
        <w:tc>
          <w:tcPr>
            <w:tcW w:w="1217" w:type="dxa"/>
            <w:tcBorders>
              <w:top w:val="single" w:sz="4" w:space="0" w:color="auto"/>
              <w:left w:val="nil"/>
              <w:bottom w:val="nil"/>
              <w:right w:val="single" w:sz="4" w:space="0" w:color="auto"/>
            </w:tcBorders>
            <w:shd w:val="clear" w:color="000000" w:fill="D9D9D9"/>
            <w:hideMark/>
          </w:tcPr>
          <w:p w:rsidR="00E2507D" w:rsidRPr="009D7892" w:rsidP="00E2507D">
            <w:pPr>
              <w:autoSpaceDE/>
              <w:autoSpaceDN/>
              <w:adjustRightInd/>
              <w:spacing w:after="0"/>
              <w:jc w:val="center"/>
              <w:rPr>
                <w:rFonts w:eastAsia="Times New Roman" w:cs="Arial"/>
                <w:b/>
                <w:bCs/>
                <w:lang w:eastAsia="en-GB"/>
              </w:rPr>
            </w:pPr>
            <w:r w:rsidRPr="009D7892">
              <w:rPr>
                <w:rFonts w:eastAsia="Times New Roman" w:cs="Arial"/>
                <w:b/>
                <w:bCs/>
                <w:lang w:eastAsia="en-GB"/>
              </w:rPr>
              <w:t xml:space="preserve">Outturn Variance </w:t>
            </w:r>
          </w:p>
        </w:tc>
        <w:tc>
          <w:tcPr>
            <w:tcW w:w="1217" w:type="dxa"/>
            <w:tcBorders>
              <w:top w:val="single" w:sz="4" w:space="0" w:color="auto"/>
              <w:left w:val="nil"/>
              <w:bottom w:val="nil"/>
              <w:right w:val="single" w:sz="4" w:space="0" w:color="auto"/>
            </w:tcBorders>
            <w:shd w:val="clear" w:color="000000" w:fill="D9D9D9"/>
          </w:tcPr>
          <w:p w:rsidR="00E2507D" w:rsidRPr="009D7892" w:rsidP="00E2507D">
            <w:pPr>
              <w:autoSpaceDE/>
              <w:autoSpaceDN/>
              <w:adjustRightInd/>
              <w:spacing w:after="0"/>
              <w:jc w:val="center"/>
              <w:rPr>
                <w:rFonts w:eastAsia="Times New Roman" w:cs="Arial"/>
                <w:b/>
                <w:bCs/>
                <w:lang w:eastAsia="en-GB"/>
              </w:rPr>
            </w:pPr>
            <w:r w:rsidRPr="009D7892">
              <w:rPr>
                <w:rFonts w:eastAsia="Times New Roman" w:cs="Arial"/>
                <w:b/>
                <w:bCs/>
                <w:lang w:eastAsia="en-GB"/>
              </w:rPr>
              <w:t>Outturn Variance</w:t>
            </w:r>
          </w:p>
        </w:tc>
        <w:tc>
          <w:tcPr>
            <w:tcW w:w="1217" w:type="dxa"/>
            <w:tcBorders>
              <w:top w:val="single" w:sz="4" w:space="0" w:color="auto"/>
              <w:left w:val="single" w:sz="4" w:space="0" w:color="auto"/>
              <w:bottom w:val="nil"/>
              <w:right w:val="single" w:sz="4" w:space="0" w:color="auto"/>
            </w:tcBorders>
            <w:shd w:val="clear" w:color="000000" w:fill="D9D9D9"/>
            <w:hideMark/>
          </w:tcPr>
          <w:p w:rsidR="00E2507D" w:rsidRPr="009D7892" w:rsidP="00E2507D">
            <w:pPr>
              <w:autoSpaceDE/>
              <w:autoSpaceDN/>
              <w:adjustRightInd/>
              <w:spacing w:after="0"/>
              <w:jc w:val="center"/>
              <w:rPr>
                <w:rFonts w:eastAsia="Times New Roman" w:cs="Arial"/>
                <w:b/>
                <w:bCs/>
                <w:lang w:eastAsia="en-GB"/>
              </w:rPr>
            </w:pPr>
            <w:r w:rsidRPr="009D7892">
              <w:rPr>
                <w:rFonts w:eastAsia="Times New Roman" w:cs="Arial"/>
                <w:b/>
                <w:bCs/>
                <w:lang w:eastAsia="en-GB"/>
              </w:rPr>
              <w:t xml:space="preserve">Q3 Forecast Variance </w:t>
            </w:r>
          </w:p>
        </w:tc>
      </w:tr>
      <w:tr w:rsidTr="00E2507D">
        <w:tblPrEx>
          <w:tblW w:w="9050" w:type="dxa"/>
          <w:tblLook w:val="04A0"/>
        </w:tblPrEx>
        <w:trPr>
          <w:trHeight w:val="340"/>
        </w:trPr>
        <w:tc>
          <w:tcPr>
            <w:tcW w:w="750" w:type="dxa"/>
            <w:tcBorders>
              <w:top w:val="nil"/>
              <w:left w:val="single" w:sz="4" w:space="0" w:color="auto"/>
              <w:bottom w:val="single" w:sz="4" w:space="0" w:color="auto"/>
              <w:right w:val="single" w:sz="4" w:space="0" w:color="auto"/>
            </w:tcBorders>
            <w:shd w:val="clear" w:color="000000" w:fill="D9D9D9"/>
            <w:vAlign w:val="bottom"/>
            <w:hideMark/>
          </w:tcPr>
          <w:p w:rsidR="00E2507D" w:rsidRPr="009D7892" w:rsidP="00E2507D">
            <w:pPr>
              <w:autoSpaceDE/>
              <w:autoSpaceDN/>
              <w:adjustRightInd/>
              <w:spacing w:after="0"/>
              <w:jc w:val="center"/>
              <w:rPr>
                <w:rFonts w:eastAsia="Times New Roman" w:cs="Arial"/>
                <w:b/>
                <w:bCs/>
                <w:lang w:eastAsia="en-GB"/>
              </w:rPr>
            </w:pPr>
            <w:r w:rsidRPr="009D7892">
              <w:rPr>
                <w:rFonts w:eastAsia="Times New Roman" w:cs="Arial"/>
                <w:b/>
                <w:bCs/>
                <w:lang w:eastAsia="en-GB"/>
              </w:rPr>
              <w:t> </w:t>
            </w:r>
          </w:p>
        </w:tc>
        <w:tc>
          <w:tcPr>
            <w:tcW w:w="2216" w:type="dxa"/>
            <w:tcBorders>
              <w:top w:val="nil"/>
              <w:left w:val="nil"/>
              <w:bottom w:val="single" w:sz="4" w:space="0" w:color="auto"/>
              <w:right w:val="single" w:sz="4" w:space="0" w:color="auto"/>
            </w:tcBorders>
            <w:shd w:val="clear" w:color="000000" w:fill="D9D9D9"/>
            <w:vAlign w:val="bottom"/>
            <w:hideMark/>
          </w:tcPr>
          <w:p w:rsidR="00E2507D" w:rsidRPr="009D7892" w:rsidP="00E2507D">
            <w:pPr>
              <w:autoSpaceDE/>
              <w:autoSpaceDN/>
              <w:adjustRightInd/>
              <w:spacing w:after="0"/>
              <w:jc w:val="center"/>
              <w:rPr>
                <w:rFonts w:eastAsia="Times New Roman" w:cs="Arial"/>
                <w:b/>
                <w:bCs/>
                <w:lang w:eastAsia="en-GB"/>
              </w:rPr>
            </w:pPr>
            <w:r w:rsidRPr="009D7892">
              <w:rPr>
                <w:rFonts w:eastAsia="Times New Roman" w:cs="Arial"/>
                <w:b/>
                <w:bCs/>
                <w:lang w:eastAsia="en-GB"/>
              </w:rPr>
              <w:t> </w:t>
            </w:r>
          </w:p>
        </w:tc>
        <w:tc>
          <w:tcPr>
            <w:tcW w:w="1337" w:type="dxa"/>
            <w:tcBorders>
              <w:top w:val="nil"/>
              <w:left w:val="nil"/>
              <w:bottom w:val="single" w:sz="4" w:space="0" w:color="auto"/>
              <w:right w:val="single" w:sz="4" w:space="0" w:color="auto"/>
            </w:tcBorders>
            <w:shd w:val="clear" w:color="000000" w:fill="D9D9D9"/>
            <w:vAlign w:val="bottom"/>
            <w:hideMark/>
          </w:tcPr>
          <w:p w:rsidR="00E2507D" w:rsidRPr="009D7892" w:rsidP="00E2507D">
            <w:pPr>
              <w:autoSpaceDE/>
              <w:autoSpaceDN/>
              <w:adjustRightInd/>
              <w:spacing w:after="0"/>
              <w:jc w:val="center"/>
              <w:rPr>
                <w:rFonts w:eastAsia="Times New Roman" w:cs="Arial"/>
                <w:b/>
                <w:bCs/>
                <w:lang w:eastAsia="en-GB"/>
              </w:rPr>
            </w:pPr>
            <w:r w:rsidRPr="009D7892">
              <w:rPr>
                <w:rFonts w:eastAsia="Times New Roman" w:cs="Arial"/>
                <w:b/>
                <w:bCs/>
                <w:lang w:eastAsia="en-GB"/>
              </w:rPr>
              <w:t xml:space="preserve"> £m </w:t>
            </w:r>
          </w:p>
        </w:tc>
        <w:tc>
          <w:tcPr>
            <w:tcW w:w="1096" w:type="dxa"/>
            <w:tcBorders>
              <w:top w:val="nil"/>
              <w:left w:val="nil"/>
              <w:bottom w:val="single" w:sz="4" w:space="0" w:color="auto"/>
              <w:right w:val="single" w:sz="4" w:space="0" w:color="auto"/>
            </w:tcBorders>
            <w:shd w:val="clear" w:color="000000" w:fill="D9D9D9"/>
            <w:vAlign w:val="bottom"/>
            <w:hideMark/>
          </w:tcPr>
          <w:p w:rsidR="00E2507D" w:rsidRPr="009D7892" w:rsidP="00E2507D">
            <w:pPr>
              <w:autoSpaceDE/>
              <w:autoSpaceDN/>
              <w:adjustRightInd/>
              <w:spacing w:after="0"/>
              <w:jc w:val="center"/>
              <w:rPr>
                <w:rFonts w:eastAsia="Times New Roman" w:cs="Arial"/>
                <w:b/>
                <w:bCs/>
                <w:lang w:eastAsia="en-GB"/>
              </w:rPr>
            </w:pPr>
            <w:r w:rsidRPr="009D7892">
              <w:rPr>
                <w:rFonts w:eastAsia="Times New Roman" w:cs="Arial"/>
                <w:b/>
                <w:bCs/>
                <w:lang w:eastAsia="en-GB"/>
              </w:rPr>
              <w:t xml:space="preserve"> £m </w:t>
            </w:r>
          </w:p>
        </w:tc>
        <w:tc>
          <w:tcPr>
            <w:tcW w:w="1217" w:type="dxa"/>
            <w:tcBorders>
              <w:top w:val="nil"/>
              <w:left w:val="nil"/>
              <w:bottom w:val="single" w:sz="4" w:space="0" w:color="auto"/>
              <w:right w:val="single" w:sz="4" w:space="0" w:color="auto"/>
            </w:tcBorders>
            <w:shd w:val="clear" w:color="000000" w:fill="D9D9D9"/>
            <w:vAlign w:val="bottom"/>
            <w:hideMark/>
          </w:tcPr>
          <w:p w:rsidR="00E2507D" w:rsidRPr="009D7892" w:rsidP="00E2507D">
            <w:pPr>
              <w:autoSpaceDE/>
              <w:autoSpaceDN/>
              <w:adjustRightInd/>
              <w:spacing w:after="0"/>
              <w:jc w:val="center"/>
              <w:rPr>
                <w:rFonts w:eastAsia="Times New Roman" w:cs="Arial"/>
                <w:b/>
                <w:bCs/>
                <w:lang w:eastAsia="en-GB"/>
              </w:rPr>
            </w:pPr>
            <w:r w:rsidRPr="009D7892">
              <w:rPr>
                <w:rFonts w:eastAsia="Times New Roman" w:cs="Arial"/>
                <w:b/>
                <w:bCs/>
                <w:lang w:eastAsia="en-GB"/>
              </w:rPr>
              <w:t xml:space="preserve"> £m </w:t>
            </w:r>
          </w:p>
        </w:tc>
        <w:tc>
          <w:tcPr>
            <w:tcW w:w="1217" w:type="dxa"/>
            <w:tcBorders>
              <w:top w:val="nil"/>
              <w:left w:val="nil"/>
              <w:bottom w:val="single" w:sz="4" w:space="0" w:color="auto"/>
              <w:right w:val="single" w:sz="4" w:space="0" w:color="auto"/>
            </w:tcBorders>
            <w:shd w:val="clear" w:color="000000" w:fill="D9D9D9"/>
            <w:vAlign w:val="bottom"/>
          </w:tcPr>
          <w:p w:rsidR="00E2507D" w:rsidRPr="009D7892" w:rsidP="00E2507D">
            <w:pPr>
              <w:autoSpaceDE/>
              <w:autoSpaceDN/>
              <w:adjustRightInd/>
              <w:spacing w:after="0"/>
              <w:jc w:val="center"/>
              <w:rPr>
                <w:rFonts w:eastAsia="Times New Roman" w:cs="Arial"/>
                <w:b/>
                <w:bCs/>
                <w:lang w:eastAsia="en-GB"/>
              </w:rPr>
            </w:pPr>
            <w:r w:rsidRPr="009D7892">
              <w:rPr>
                <w:rFonts w:eastAsia="Times New Roman" w:cs="Arial"/>
                <w:b/>
                <w:bCs/>
                <w:lang w:eastAsia="en-GB"/>
              </w:rPr>
              <w:t>%</w:t>
            </w:r>
          </w:p>
        </w:tc>
        <w:tc>
          <w:tcPr>
            <w:tcW w:w="1217" w:type="dxa"/>
            <w:tcBorders>
              <w:top w:val="nil"/>
              <w:left w:val="single" w:sz="4" w:space="0" w:color="auto"/>
              <w:bottom w:val="single" w:sz="4" w:space="0" w:color="auto"/>
              <w:right w:val="single" w:sz="4" w:space="0" w:color="auto"/>
            </w:tcBorders>
            <w:shd w:val="clear" w:color="000000" w:fill="D9D9D9"/>
            <w:vAlign w:val="bottom"/>
            <w:hideMark/>
          </w:tcPr>
          <w:p w:rsidR="00E2507D" w:rsidRPr="009D7892" w:rsidP="00E2507D">
            <w:pPr>
              <w:autoSpaceDE/>
              <w:autoSpaceDN/>
              <w:adjustRightInd/>
              <w:spacing w:after="0"/>
              <w:jc w:val="center"/>
              <w:rPr>
                <w:rFonts w:eastAsia="Times New Roman" w:cs="Arial"/>
                <w:b/>
                <w:bCs/>
                <w:lang w:eastAsia="en-GB"/>
              </w:rPr>
            </w:pPr>
            <w:r w:rsidRPr="009D7892">
              <w:rPr>
                <w:rFonts w:eastAsia="Times New Roman" w:cs="Arial"/>
                <w:b/>
                <w:bCs/>
                <w:lang w:eastAsia="en-GB"/>
              </w:rPr>
              <w:t xml:space="preserve"> £m </w:t>
            </w:r>
          </w:p>
        </w:tc>
      </w:tr>
      <w:tr w:rsidTr="00E2507D">
        <w:tblPrEx>
          <w:tblW w:w="9050" w:type="dxa"/>
          <w:tblLook w:val="04A0"/>
        </w:tblPrEx>
        <w:trPr>
          <w:trHeight w:val="462"/>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E2507D" w:rsidRPr="001301AB" w:rsidP="00E2507D">
            <w:pPr>
              <w:autoSpaceDE/>
              <w:autoSpaceDN/>
              <w:adjustRightInd/>
              <w:spacing w:after="0"/>
              <w:jc w:val="center"/>
              <w:rPr>
                <w:rFonts w:eastAsia="Times New Roman" w:cs="Arial"/>
                <w:b/>
                <w:bCs/>
                <w:lang w:eastAsia="en-GB"/>
              </w:rPr>
            </w:pPr>
            <w:r w:rsidRPr="001301AB">
              <w:rPr>
                <w:rFonts w:eastAsia="Times New Roman" w:cs="Arial"/>
                <w:b/>
                <w:bCs/>
                <w:lang w:eastAsia="en-GB"/>
              </w:rPr>
              <w:t>3.6.1</w:t>
            </w:r>
          </w:p>
        </w:tc>
        <w:tc>
          <w:tcPr>
            <w:tcW w:w="2216" w:type="dxa"/>
            <w:tcBorders>
              <w:top w:val="nil"/>
              <w:left w:val="nil"/>
              <w:bottom w:val="single" w:sz="4" w:space="0" w:color="auto"/>
              <w:right w:val="single" w:sz="4" w:space="0" w:color="auto"/>
            </w:tcBorders>
            <w:shd w:val="clear" w:color="000000" w:fill="FFFFFF"/>
            <w:vAlign w:val="center"/>
          </w:tcPr>
          <w:p w:rsidR="00E2507D" w:rsidRPr="001301AB" w:rsidP="00E2507D">
            <w:pPr>
              <w:autoSpaceDE/>
              <w:autoSpaceDN/>
              <w:adjustRightInd/>
              <w:spacing w:after="0"/>
              <w:jc w:val="left"/>
              <w:rPr>
                <w:rFonts w:eastAsia="Times New Roman" w:cs="Arial"/>
                <w:lang w:eastAsia="en-GB"/>
              </w:rPr>
            </w:pPr>
            <w:r w:rsidRPr="001301AB">
              <w:rPr>
                <w:rFonts w:eastAsia="Times New Roman" w:cs="Arial"/>
                <w:lang w:eastAsia="en-GB"/>
              </w:rPr>
              <w:t>Waste Management</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2507D" w:rsidRPr="001301AB" w:rsidP="00E2507D">
            <w:pPr>
              <w:autoSpaceDE/>
              <w:autoSpaceDN/>
              <w:adjustRightInd/>
              <w:spacing w:after="0"/>
              <w:jc w:val="right"/>
              <w:rPr>
                <w:rFonts w:eastAsia="Times New Roman" w:cs="Arial"/>
                <w:highlight w:val="yellow"/>
                <w:lang w:eastAsia="en-GB"/>
              </w:rPr>
            </w:pPr>
            <w:r w:rsidRPr="001301AB">
              <w:rPr>
                <w:rFonts w:eastAsia="Times New Roman" w:cs="Arial"/>
                <w:lang w:eastAsia="en-GB"/>
              </w:rPr>
              <w:t>65.989</w:t>
            </w:r>
          </w:p>
        </w:tc>
        <w:tc>
          <w:tcPr>
            <w:tcW w:w="1096" w:type="dxa"/>
            <w:tcBorders>
              <w:top w:val="single" w:sz="4" w:space="0" w:color="auto"/>
              <w:left w:val="nil"/>
              <w:bottom w:val="single" w:sz="4" w:space="0" w:color="auto"/>
              <w:right w:val="single" w:sz="4" w:space="0" w:color="auto"/>
            </w:tcBorders>
            <w:shd w:val="clear" w:color="auto" w:fill="auto"/>
            <w:vAlign w:val="center"/>
          </w:tcPr>
          <w:p w:rsidR="00E2507D" w:rsidRPr="00CD2323" w:rsidP="00E2507D">
            <w:pPr>
              <w:autoSpaceDE/>
              <w:autoSpaceDN/>
              <w:adjustRightInd/>
              <w:spacing w:after="0"/>
              <w:jc w:val="right"/>
              <w:rPr>
                <w:rFonts w:eastAsia="Times New Roman" w:cs="Arial"/>
                <w:lang w:eastAsia="en-GB"/>
              </w:rPr>
            </w:pPr>
            <w:r w:rsidRPr="00CD2323">
              <w:rPr>
                <w:rFonts w:cs="Arial"/>
              </w:rPr>
              <w:t>63.631</w:t>
            </w:r>
          </w:p>
        </w:tc>
        <w:tc>
          <w:tcPr>
            <w:tcW w:w="1217" w:type="dxa"/>
            <w:tcBorders>
              <w:top w:val="single" w:sz="4" w:space="0" w:color="auto"/>
              <w:left w:val="nil"/>
              <w:bottom w:val="single" w:sz="4" w:space="0" w:color="auto"/>
              <w:right w:val="single" w:sz="4" w:space="0" w:color="auto"/>
            </w:tcBorders>
            <w:shd w:val="clear" w:color="000000" w:fill="D9D9D9"/>
            <w:vAlign w:val="center"/>
          </w:tcPr>
          <w:p w:rsidR="00E2507D" w:rsidRPr="00CD2323" w:rsidP="00E2507D">
            <w:pPr>
              <w:autoSpaceDE/>
              <w:autoSpaceDN/>
              <w:adjustRightInd/>
              <w:spacing w:after="0"/>
              <w:jc w:val="right"/>
              <w:rPr>
                <w:rFonts w:eastAsia="Times New Roman" w:cs="Arial"/>
                <w:lang w:eastAsia="en-GB"/>
              </w:rPr>
            </w:pPr>
            <w:r w:rsidRPr="00CD2323">
              <w:rPr>
                <w:rFonts w:cs="Arial"/>
              </w:rPr>
              <w:t>-2.358</w:t>
            </w:r>
          </w:p>
        </w:tc>
        <w:tc>
          <w:tcPr>
            <w:tcW w:w="1217" w:type="dxa"/>
            <w:tcBorders>
              <w:top w:val="single" w:sz="4" w:space="0" w:color="auto"/>
              <w:left w:val="single" w:sz="4" w:space="0" w:color="auto"/>
              <w:bottom w:val="single" w:sz="4" w:space="0" w:color="auto"/>
              <w:right w:val="single" w:sz="4" w:space="0" w:color="auto"/>
            </w:tcBorders>
            <w:vAlign w:val="center"/>
          </w:tcPr>
          <w:p w:rsidR="00E2507D" w:rsidRPr="00CD2323" w:rsidP="00E2507D">
            <w:pPr>
              <w:autoSpaceDE/>
              <w:autoSpaceDN/>
              <w:adjustRightInd/>
              <w:spacing w:after="0"/>
              <w:jc w:val="right"/>
              <w:rPr>
                <w:rFonts w:cs="Arial"/>
              </w:rPr>
            </w:pPr>
            <w:r w:rsidRPr="00CD2323">
              <w:rPr>
                <w:rFonts w:cs="Arial"/>
              </w:rPr>
              <w:t>-3.57%</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E2507D" w:rsidRPr="00CD2323" w:rsidP="00E2507D">
            <w:pPr>
              <w:autoSpaceDE/>
              <w:autoSpaceDN/>
              <w:adjustRightInd/>
              <w:spacing w:after="0"/>
              <w:jc w:val="right"/>
              <w:rPr>
                <w:rFonts w:eastAsia="Times New Roman" w:cs="Arial"/>
                <w:lang w:eastAsia="en-GB"/>
              </w:rPr>
            </w:pPr>
            <w:r w:rsidRPr="00CD2323">
              <w:rPr>
                <w:rFonts w:cs="Arial"/>
              </w:rPr>
              <w:t>-1.920</w:t>
            </w:r>
          </w:p>
        </w:tc>
      </w:tr>
      <w:tr w:rsidTr="00E2507D">
        <w:tblPrEx>
          <w:tblW w:w="9050" w:type="dxa"/>
          <w:tblLook w:val="04A0"/>
        </w:tblPrEx>
        <w:trPr>
          <w:trHeight w:val="462"/>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E2507D" w:rsidRPr="001301AB" w:rsidP="00E2507D">
            <w:pPr>
              <w:autoSpaceDE/>
              <w:autoSpaceDN/>
              <w:adjustRightInd/>
              <w:spacing w:after="0"/>
              <w:jc w:val="center"/>
              <w:rPr>
                <w:rFonts w:eastAsia="Times New Roman" w:cs="Arial"/>
                <w:b/>
                <w:bCs/>
                <w:lang w:eastAsia="en-GB"/>
              </w:rPr>
            </w:pPr>
            <w:r w:rsidRPr="001301AB">
              <w:rPr>
                <w:rFonts w:eastAsia="Times New Roman" w:cs="Arial"/>
                <w:b/>
                <w:bCs/>
                <w:lang w:eastAsia="en-GB"/>
              </w:rPr>
              <w:t>3.6.2</w:t>
            </w:r>
          </w:p>
        </w:tc>
        <w:tc>
          <w:tcPr>
            <w:tcW w:w="2216" w:type="dxa"/>
            <w:tcBorders>
              <w:top w:val="nil"/>
              <w:left w:val="nil"/>
              <w:bottom w:val="single" w:sz="4" w:space="0" w:color="auto"/>
              <w:right w:val="single" w:sz="4" w:space="0" w:color="auto"/>
            </w:tcBorders>
            <w:shd w:val="clear" w:color="auto" w:fill="auto"/>
            <w:vAlign w:val="center"/>
          </w:tcPr>
          <w:p w:rsidR="00E2507D" w:rsidRPr="001301AB" w:rsidP="00E2507D">
            <w:pPr>
              <w:autoSpaceDE/>
              <w:autoSpaceDN/>
              <w:adjustRightInd/>
              <w:spacing w:after="0"/>
              <w:jc w:val="left"/>
              <w:rPr>
                <w:rFonts w:eastAsia="Times New Roman" w:cs="Arial"/>
                <w:lang w:eastAsia="en-GB"/>
              </w:rPr>
            </w:pPr>
            <w:r w:rsidRPr="001301AB">
              <w:rPr>
                <w:rFonts w:eastAsia="Times New Roman" w:cs="Arial"/>
                <w:lang w:eastAsia="en-GB"/>
              </w:rPr>
              <w:t>Highways</w:t>
            </w:r>
          </w:p>
        </w:tc>
        <w:tc>
          <w:tcPr>
            <w:tcW w:w="1337" w:type="dxa"/>
            <w:tcBorders>
              <w:top w:val="nil"/>
              <w:left w:val="single" w:sz="4" w:space="0" w:color="auto"/>
              <w:bottom w:val="single" w:sz="4" w:space="0" w:color="auto"/>
              <w:right w:val="single" w:sz="4" w:space="0" w:color="auto"/>
            </w:tcBorders>
            <w:shd w:val="clear" w:color="auto" w:fill="auto"/>
            <w:vAlign w:val="center"/>
          </w:tcPr>
          <w:p w:rsidR="00E2507D" w:rsidRPr="001301AB" w:rsidP="00E2507D">
            <w:pPr>
              <w:autoSpaceDE/>
              <w:autoSpaceDN/>
              <w:adjustRightInd/>
              <w:spacing w:after="0"/>
              <w:jc w:val="right"/>
              <w:rPr>
                <w:rFonts w:eastAsia="Times New Roman" w:cs="Arial"/>
                <w:highlight w:val="yellow"/>
                <w:lang w:eastAsia="en-GB"/>
              </w:rPr>
            </w:pPr>
            <w:r w:rsidRPr="001301AB">
              <w:rPr>
                <w:rFonts w:eastAsia="Times New Roman" w:cs="Arial"/>
                <w:lang w:eastAsia="en-GB"/>
              </w:rPr>
              <w:t>12.072</w:t>
            </w:r>
          </w:p>
        </w:tc>
        <w:tc>
          <w:tcPr>
            <w:tcW w:w="1096" w:type="dxa"/>
            <w:tcBorders>
              <w:top w:val="nil"/>
              <w:left w:val="nil"/>
              <w:bottom w:val="single" w:sz="4" w:space="0" w:color="auto"/>
              <w:right w:val="single" w:sz="4" w:space="0" w:color="auto"/>
            </w:tcBorders>
            <w:shd w:val="clear" w:color="auto" w:fill="auto"/>
            <w:vAlign w:val="center"/>
          </w:tcPr>
          <w:p w:rsidR="00E2507D" w:rsidRPr="00CD2323" w:rsidP="00E2507D">
            <w:pPr>
              <w:autoSpaceDE/>
              <w:autoSpaceDN/>
              <w:adjustRightInd/>
              <w:spacing w:after="0"/>
              <w:jc w:val="right"/>
              <w:rPr>
                <w:rFonts w:eastAsia="Times New Roman" w:cs="Arial"/>
                <w:lang w:eastAsia="en-GB"/>
              </w:rPr>
            </w:pPr>
            <w:r w:rsidRPr="00CD2323">
              <w:rPr>
                <w:rFonts w:cs="Arial"/>
              </w:rPr>
              <w:t>12.816</w:t>
            </w:r>
          </w:p>
        </w:tc>
        <w:tc>
          <w:tcPr>
            <w:tcW w:w="1217" w:type="dxa"/>
            <w:tcBorders>
              <w:top w:val="nil"/>
              <w:left w:val="nil"/>
              <w:bottom w:val="single" w:sz="4" w:space="0" w:color="auto"/>
              <w:right w:val="single" w:sz="4" w:space="0" w:color="auto"/>
            </w:tcBorders>
            <w:shd w:val="clear" w:color="000000" w:fill="D9D9D9"/>
            <w:vAlign w:val="center"/>
          </w:tcPr>
          <w:p w:rsidR="00E2507D" w:rsidRPr="00CD2323" w:rsidP="00E2507D">
            <w:pPr>
              <w:autoSpaceDE/>
              <w:autoSpaceDN/>
              <w:adjustRightInd/>
              <w:spacing w:after="0"/>
              <w:jc w:val="right"/>
              <w:rPr>
                <w:rFonts w:eastAsia="Times New Roman" w:cs="Arial"/>
                <w:lang w:eastAsia="en-GB"/>
              </w:rPr>
            </w:pPr>
            <w:r w:rsidRPr="00CD2323">
              <w:rPr>
                <w:rFonts w:cs="Arial"/>
              </w:rPr>
              <w:t>0.744</w:t>
            </w:r>
          </w:p>
        </w:tc>
        <w:tc>
          <w:tcPr>
            <w:tcW w:w="1217" w:type="dxa"/>
            <w:tcBorders>
              <w:top w:val="nil"/>
              <w:left w:val="single" w:sz="4" w:space="0" w:color="auto"/>
              <w:bottom w:val="single" w:sz="4" w:space="0" w:color="auto"/>
              <w:right w:val="single" w:sz="4" w:space="0" w:color="auto"/>
            </w:tcBorders>
            <w:vAlign w:val="center"/>
          </w:tcPr>
          <w:p w:rsidR="00E2507D" w:rsidRPr="00CD2323" w:rsidP="00E2507D">
            <w:pPr>
              <w:autoSpaceDE/>
              <w:autoSpaceDN/>
              <w:adjustRightInd/>
              <w:spacing w:after="0"/>
              <w:jc w:val="right"/>
              <w:rPr>
                <w:rFonts w:cs="Arial"/>
              </w:rPr>
            </w:pPr>
            <w:r w:rsidRPr="00CD2323">
              <w:rPr>
                <w:rFonts w:cs="Arial"/>
              </w:rPr>
              <w:t>6.16%</w:t>
            </w:r>
          </w:p>
        </w:tc>
        <w:tc>
          <w:tcPr>
            <w:tcW w:w="1217" w:type="dxa"/>
            <w:tcBorders>
              <w:top w:val="nil"/>
              <w:left w:val="single" w:sz="4" w:space="0" w:color="auto"/>
              <w:bottom w:val="single" w:sz="4" w:space="0" w:color="auto"/>
              <w:right w:val="single" w:sz="4" w:space="0" w:color="auto"/>
            </w:tcBorders>
            <w:shd w:val="clear" w:color="auto" w:fill="auto"/>
            <w:vAlign w:val="center"/>
          </w:tcPr>
          <w:p w:rsidR="00E2507D" w:rsidRPr="00CD2323" w:rsidP="00E2507D">
            <w:pPr>
              <w:autoSpaceDE/>
              <w:autoSpaceDN/>
              <w:adjustRightInd/>
              <w:spacing w:after="0"/>
              <w:jc w:val="right"/>
              <w:rPr>
                <w:rFonts w:eastAsia="Times New Roman" w:cs="Arial"/>
                <w:lang w:eastAsia="en-GB"/>
              </w:rPr>
            </w:pPr>
            <w:r w:rsidRPr="00CD2323">
              <w:rPr>
                <w:rFonts w:cs="Arial"/>
              </w:rPr>
              <w:t>0.545</w:t>
            </w:r>
          </w:p>
        </w:tc>
      </w:tr>
      <w:tr w:rsidTr="00E2507D">
        <w:tblPrEx>
          <w:tblW w:w="9050" w:type="dxa"/>
          <w:tblLook w:val="04A0"/>
        </w:tblPrEx>
        <w:trPr>
          <w:trHeight w:val="462"/>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E2507D" w:rsidRPr="001301AB" w:rsidP="00E2507D">
            <w:pPr>
              <w:autoSpaceDE/>
              <w:autoSpaceDN/>
              <w:adjustRightInd/>
              <w:spacing w:after="0"/>
              <w:jc w:val="center"/>
              <w:rPr>
                <w:rFonts w:eastAsia="Times New Roman" w:cs="Arial"/>
                <w:b/>
                <w:bCs/>
                <w:lang w:eastAsia="en-GB"/>
              </w:rPr>
            </w:pPr>
            <w:r w:rsidRPr="001301AB">
              <w:rPr>
                <w:rFonts w:eastAsia="Times New Roman" w:cs="Arial"/>
                <w:b/>
                <w:bCs/>
                <w:lang w:eastAsia="en-GB"/>
              </w:rPr>
              <w:t>3.6.3</w:t>
            </w:r>
          </w:p>
        </w:tc>
        <w:tc>
          <w:tcPr>
            <w:tcW w:w="2216" w:type="dxa"/>
            <w:tcBorders>
              <w:top w:val="nil"/>
              <w:left w:val="nil"/>
              <w:bottom w:val="single" w:sz="4" w:space="0" w:color="auto"/>
              <w:right w:val="single" w:sz="4" w:space="0" w:color="auto"/>
            </w:tcBorders>
            <w:shd w:val="clear" w:color="000000" w:fill="FFFFFF"/>
            <w:vAlign w:val="center"/>
          </w:tcPr>
          <w:p w:rsidR="00E2507D" w:rsidRPr="001301AB" w:rsidP="00E2507D">
            <w:pPr>
              <w:autoSpaceDE/>
              <w:autoSpaceDN/>
              <w:adjustRightInd/>
              <w:spacing w:after="0"/>
              <w:jc w:val="left"/>
              <w:rPr>
                <w:rFonts w:eastAsia="Times New Roman" w:cs="Arial"/>
                <w:lang w:eastAsia="en-GB"/>
              </w:rPr>
            </w:pPr>
            <w:r w:rsidRPr="001301AB">
              <w:rPr>
                <w:rFonts w:eastAsia="Times New Roman" w:cs="Arial"/>
                <w:lang w:eastAsia="en-GB"/>
              </w:rPr>
              <w:t>Public and Integrated Transport</w:t>
            </w:r>
          </w:p>
        </w:tc>
        <w:tc>
          <w:tcPr>
            <w:tcW w:w="1337" w:type="dxa"/>
            <w:tcBorders>
              <w:top w:val="nil"/>
              <w:left w:val="single" w:sz="4" w:space="0" w:color="auto"/>
              <w:bottom w:val="single" w:sz="4" w:space="0" w:color="auto"/>
              <w:right w:val="single" w:sz="4" w:space="0" w:color="auto"/>
            </w:tcBorders>
            <w:shd w:val="clear" w:color="auto" w:fill="auto"/>
            <w:vAlign w:val="center"/>
          </w:tcPr>
          <w:p w:rsidR="00E2507D" w:rsidRPr="001301AB" w:rsidP="00E2507D">
            <w:pPr>
              <w:autoSpaceDE/>
              <w:autoSpaceDN/>
              <w:adjustRightInd/>
              <w:spacing w:after="0"/>
              <w:jc w:val="right"/>
              <w:rPr>
                <w:rFonts w:eastAsia="Times New Roman" w:cs="Arial"/>
                <w:highlight w:val="yellow"/>
                <w:lang w:eastAsia="en-GB"/>
              </w:rPr>
            </w:pPr>
            <w:r w:rsidRPr="001301AB">
              <w:rPr>
                <w:rFonts w:eastAsia="Times New Roman" w:cs="Arial"/>
                <w:lang w:eastAsia="en-GB"/>
              </w:rPr>
              <w:t>47.631</w:t>
            </w:r>
          </w:p>
        </w:tc>
        <w:tc>
          <w:tcPr>
            <w:tcW w:w="1096" w:type="dxa"/>
            <w:tcBorders>
              <w:top w:val="nil"/>
              <w:left w:val="nil"/>
              <w:bottom w:val="single" w:sz="4" w:space="0" w:color="auto"/>
              <w:right w:val="single" w:sz="4" w:space="0" w:color="auto"/>
            </w:tcBorders>
            <w:shd w:val="clear" w:color="auto" w:fill="auto"/>
            <w:vAlign w:val="center"/>
          </w:tcPr>
          <w:p w:rsidR="00E2507D" w:rsidRPr="00CD2323" w:rsidP="00E2507D">
            <w:pPr>
              <w:autoSpaceDE/>
              <w:autoSpaceDN/>
              <w:adjustRightInd/>
              <w:spacing w:after="0"/>
              <w:jc w:val="right"/>
              <w:rPr>
                <w:rFonts w:eastAsia="Times New Roman" w:cs="Arial"/>
                <w:lang w:eastAsia="en-GB"/>
              </w:rPr>
            </w:pPr>
            <w:r w:rsidRPr="00CD2323">
              <w:rPr>
                <w:rFonts w:cs="Arial"/>
              </w:rPr>
              <w:t>49.470</w:t>
            </w:r>
          </w:p>
        </w:tc>
        <w:tc>
          <w:tcPr>
            <w:tcW w:w="1217" w:type="dxa"/>
            <w:tcBorders>
              <w:top w:val="nil"/>
              <w:left w:val="nil"/>
              <w:bottom w:val="single" w:sz="4" w:space="0" w:color="auto"/>
              <w:right w:val="single" w:sz="4" w:space="0" w:color="auto"/>
            </w:tcBorders>
            <w:shd w:val="clear" w:color="000000" w:fill="D9D9D9"/>
            <w:vAlign w:val="center"/>
          </w:tcPr>
          <w:p w:rsidR="00E2507D" w:rsidRPr="00CD2323" w:rsidP="00E2507D">
            <w:pPr>
              <w:autoSpaceDE/>
              <w:autoSpaceDN/>
              <w:adjustRightInd/>
              <w:spacing w:after="0"/>
              <w:jc w:val="right"/>
              <w:rPr>
                <w:rFonts w:eastAsia="Times New Roman" w:cs="Arial"/>
                <w:lang w:eastAsia="en-GB"/>
              </w:rPr>
            </w:pPr>
            <w:r w:rsidRPr="00CD2323">
              <w:rPr>
                <w:rFonts w:cs="Arial"/>
              </w:rPr>
              <w:t>1.839</w:t>
            </w:r>
          </w:p>
        </w:tc>
        <w:tc>
          <w:tcPr>
            <w:tcW w:w="1217" w:type="dxa"/>
            <w:tcBorders>
              <w:top w:val="nil"/>
              <w:left w:val="single" w:sz="4" w:space="0" w:color="auto"/>
              <w:bottom w:val="single" w:sz="4" w:space="0" w:color="auto"/>
              <w:right w:val="single" w:sz="4" w:space="0" w:color="auto"/>
            </w:tcBorders>
            <w:vAlign w:val="center"/>
          </w:tcPr>
          <w:p w:rsidR="00E2507D" w:rsidRPr="00CD2323" w:rsidP="00E2507D">
            <w:pPr>
              <w:autoSpaceDE/>
              <w:autoSpaceDN/>
              <w:adjustRightInd/>
              <w:spacing w:after="0"/>
              <w:jc w:val="right"/>
              <w:rPr>
                <w:rFonts w:cs="Arial"/>
              </w:rPr>
            </w:pPr>
            <w:r w:rsidRPr="00CD2323">
              <w:rPr>
                <w:rFonts w:cs="Arial"/>
              </w:rPr>
              <w:t>3.86%</w:t>
            </w:r>
          </w:p>
        </w:tc>
        <w:tc>
          <w:tcPr>
            <w:tcW w:w="1217" w:type="dxa"/>
            <w:tcBorders>
              <w:top w:val="nil"/>
              <w:left w:val="single" w:sz="4" w:space="0" w:color="auto"/>
              <w:bottom w:val="single" w:sz="4" w:space="0" w:color="auto"/>
              <w:right w:val="single" w:sz="4" w:space="0" w:color="auto"/>
            </w:tcBorders>
            <w:shd w:val="clear" w:color="auto" w:fill="auto"/>
            <w:vAlign w:val="center"/>
          </w:tcPr>
          <w:p w:rsidR="00E2507D" w:rsidRPr="00CD2323" w:rsidP="00E2507D">
            <w:pPr>
              <w:autoSpaceDE/>
              <w:autoSpaceDN/>
              <w:adjustRightInd/>
              <w:spacing w:after="0"/>
              <w:jc w:val="right"/>
              <w:rPr>
                <w:rFonts w:eastAsia="Times New Roman" w:cs="Arial"/>
                <w:lang w:eastAsia="en-GB"/>
              </w:rPr>
            </w:pPr>
            <w:r w:rsidRPr="00CD2323">
              <w:rPr>
                <w:rFonts w:cs="Arial"/>
              </w:rPr>
              <w:t>1.555</w:t>
            </w:r>
          </w:p>
        </w:tc>
      </w:tr>
      <w:tr w:rsidTr="00E2507D">
        <w:tblPrEx>
          <w:tblW w:w="9050" w:type="dxa"/>
          <w:tblLook w:val="04A0"/>
        </w:tblPrEx>
        <w:trPr>
          <w:trHeight w:val="462"/>
        </w:trPr>
        <w:tc>
          <w:tcPr>
            <w:tcW w:w="750" w:type="dxa"/>
            <w:tcBorders>
              <w:top w:val="nil"/>
              <w:left w:val="single" w:sz="4" w:space="0" w:color="auto"/>
              <w:bottom w:val="single" w:sz="4" w:space="0" w:color="auto"/>
              <w:right w:val="single" w:sz="4" w:space="0" w:color="auto"/>
            </w:tcBorders>
            <w:shd w:val="clear" w:color="auto" w:fill="auto"/>
            <w:vAlign w:val="center"/>
            <w:hideMark/>
          </w:tcPr>
          <w:p w:rsidR="00E2507D" w:rsidRPr="001301AB" w:rsidP="00E2507D">
            <w:pPr>
              <w:autoSpaceDE/>
              <w:autoSpaceDN/>
              <w:adjustRightInd/>
              <w:spacing w:after="0"/>
              <w:jc w:val="center"/>
              <w:rPr>
                <w:rFonts w:eastAsia="Times New Roman" w:cs="Arial"/>
                <w:b/>
                <w:bCs/>
                <w:lang w:eastAsia="en-GB"/>
              </w:rPr>
            </w:pPr>
            <w:r w:rsidRPr="001301AB">
              <w:rPr>
                <w:rFonts w:eastAsia="Times New Roman" w:cs="Arial"/>
                <w:b/>
                <w:bCs/>
                <w:lang w:eastAsia="en-GB"/>
              </w:rPr>
              <w:t>3.6.4</w:t>
            </w:r>
          </w:p>
        </w:tc>
        <w:tc>
          <w:tcPr>
            <w:tcW w:w="2216" w:type="dxa"/>
            <w:tcBorders>
              <w:top w:val="nil"/>
              <w:left w:val="nil"/>
              <w:bottom w:val="single" w:sz="4" w:space="0" w:color="auto"/>
              <w:right w:val="single" w:sz="4" w:space="0" w:color="auto"/>
            </w:tcBorders>
            <w:shd w:val="clear" w:color="auto" w:fill="auto"/>
            <w:vAlign w:val="center"/>
          </w:tcPr>
          <w:p w:rsidR="00E2507D" w:rsidRPr="001301AB" w:rsidP="00E2507D">
            <w:pPr>
              <w:autoSpaceDE/>
              <w:autoSpaceDN/>
              <w:adjustRightInd/>
              <w:spacing w:after="0"/>
              <w:jc w:val="left"/>
              <w:rPr>
                <w:rFonts w:eastAsia="Times New Roman" w:cs="Arial"/>
                <w:lang w:eastAsia="en-GB"/>
              </w:rPr>
            </w:pPr>
            <w:r w:rsidRPr="001301AB">
              <w:rPr>
                <w:rFonts w:eastAsia="Times New Roman" w:cs="Arial"/>
                <w:lang w:eastAsia="en-GB"/>
              </w:rPr>
              <w:t>Customer Access</w:t>
            </w:r>
          </w:p>
        </w:tc>
        <w:tc>
          <w:tcPr>
            <w:tcW w:w="1337" w:type="dxa"/>
            <w:tcBorders>
              <w:top w:val="nil"/>
              <w:left w:val="single" w:sz="4" w:space="0" w:color="auto"/>
              <w:bottom w:val="single" w:sz="4" w:space="0" w:color="auto"/>
              <w:right w:val="single" w:sz="4" w:space="0" w:color="auto"/>
            </w:tcBorders>
            <w:shd w:val="clear" w:color="auto" w:fill="auto"/>
            <w:vAlign w:val="center"/>
          </w:tcPr>
          <w:p w:rsidR="00E2507D" w:rsidRPr="001301AB" w:rsidP="00E2507D">
            <w:pPr>
              <w:autoSpaceDE/>
              <w:autoSpaceDN/>
              <w:adjustRightInd/>
              <w:spacing w:after="0"/>
              <w:jc w:val="right"/>
              <w:rPr>
                <w:rFonts w:eastAsia="Times New Roman" w:cs="Arial"/>
                <w:highlight w:val="yellow"/>
                <w:lang w:eastAsia="en-GB"/>
              </w:rPr>
            </w:pPr>
            <w:r w:rsidRPr="001301AB">
              <w:rPr>
                <w:rFonts w:eastAsia="Times New Roman" w:cs="Arial"/>
                <w:lang w:eastAsia="en-GB"/>
              </w:rPr>
              <w:t>3.319</w:t>
            </w:r>
          </w:p>
        </w:tc>
        <w:tc>
          <w:tcPr>
            <w:tcW w:w="1096" w:type="dxa"/>
            <w:tcBorders>
              <w:top w:val="nil"/>
              <w:left w:val="nil"/>
              <w:bottom w:val="single" w:sz="4" w:space="0" w:color="auto"/>
              <w:right w:val="single" w:sz="4" w:space="0" w:color="auto"/>
            </w:tcBorders>
            <w:shd w:val="clear" w:color="auto" w:fill="auto"/>
            <w:vAlign w:val="center"/>
          </w:tcPr>
          <w:p w:rsidR="00E2507D" w:rsidRPr="00CD2323" w:rsidP="00E2507D">
            <w:pPr>
              <w:autoSpaceDE/>
              <w:autoSpaceDN/>
              <w:adjustRightInd/>
              <w:spacing w:after="0"/>
              <w:jc w:val="right"/>
              <w:rPr>
                <w:rFonts w:eastAsia="Times New Roman" w:cs="Arial"/>
                <w:lang w:eastAsia="en-GB"/>
              </w:rPr>
            </w:pPr>
            <w:r w:rsidRPr="00CD2323">
              <w:rPr>
                <w:rFonts w:cs="Arial"/>
              </w:rPr>
              <w:t>2.966</w:t>
            </w:r>
          </w:p>
        </w:tc>
        <w:tc>
          <w:tcPr>
            <w:tcW w:w="1217" w:type="dxa"/>
            <w:tcBorders>
              <w:top w:val="nil"/>
              <w:left w:val="nil"/>
              <w:bottom w:val="single" w:sz="4" w:space="0" w:color="auto"/>
              <w:right w:val="single" w:sz="4" w:space="0" w:color="auto"/>
            </w:tcBorders>
            <w:shd w:val="clear" w:color="000000" w:fill="D9D9D9"/>
            <w:vAlign w:val="center"/>
          </w:tcPr>
          <w:p w:rsidR="00E2507D" w:rsidRPr="00CD2323" w:rsidP="00E2507D">
            <w:pPr>
              <w:autoSpaceDE/>
              <w:autoSpaceDN/>
              <w:adjustRightInd/>
              <w:spacing w:after="0"/>
              <w:jc w:val="right"/>
              <w:rPr>
                <w:rFonts w:eastAsia="Times New Roman" w:cs="Arial"/>
                <w:lang w:eastAsia="en-GB"/>
              </w:rPr>
            </w:pPr>
            <w:r w:rsidRPr="00CD2323">
              <w:rPr>
                <w:rFonts w:cs="Arial"/>
              </w:rPr>
              <w:t>-0.353</w:t>
            </w:r>
          </w:p>
        </w:tc>
        <w:tc>
          <w:tcPr>
            <w:tcW w:w="1217" w:type="dxa"/>
            <w:tcBorders>
              <w:top w:val="nil"/>
              <w:left w:val="single" w:sz="4" w:space="0" w:color="auto"/>
              <w:bottom w:val="single" w:sz="4" w:space="0" w:color="auto"/>
              <w:right w:val="single" w:sz="4" w:space="0" w:color="auto"/>
            </w:tcBorders>
            <w:vAlign w:val="center"/>
          </w:tcPr>
          <w:p w:rsidR="00E2507D" w:rsidRPr="00CD2323" w:rsidP="00E2507D">
            <w:pPr>
              <w:autoSpaceDE/>
              <w:autoSpaceDN/>
              <w:adjustRightInd/>
              <w:spacing w:after="0"/>
              <w:jc w:val="right"/>
              <w:rPr>
                <w:rFonts w:cs="Arial"/>
              </w:rPr>
            </w:pPr>
            <w:r w:rsidRPr="00CD2323">
              <w:rPr>
                <w:rFonts w:cs="Arial"/>
              </w:rPr>
              <w:t>-10.64%</w:t>
            </w:r>
          </w:p>
        </w:tc>
        <w:tc>
          <w:tcPr>
            <w:tcW w:w="1217" w:type="dxa"/>
            <w:tcBorders>
              <w:top w:val="nil"/>
              <w:left w:val="single" w:sz="4" w:space="0" w:color="auto"/>
              <w:bottom w:val="single" w:sz="4" w:space="0" w:color="auto"/>
              <w:right w:val="single" w:sz="4" w:space="0" w:color="auto"/>
            </w:tcBorders>
            <w:shd w:val="clear" w:color="auto" w:fill="auto"/>
            <w:vAlign w:val="center"/>
          </w:tcPr>
          <w:p w:rsidR="00E2507D" w:rsidRPr="00CD2323" w:rsidP="00E2507D">
            <w:pPr>
              <w:autoSpaceDE/>
              <w:autoSpaceDN/>
              <w:adjustRightInd/>
              <w:spacing w:after="0"/>
              <w:jc w:val="right"/>
              <w:rPr>
                <w:rFonts w:eastAsia="Times New Roman" w:cs="Arial"/>
                <w:lang w:eastAsia="en-GB"/>
              </w:rPr>
            </w:pPr>
            <w:r w:rsidRPr="00CD2323">
              <w:rPr>
                <w:rFonts w:cs="Arial"/>
              </w:rPr>
              <w:t>-0.325</w:t>
            </w:r>
          </w:p>
        </w:tc>
      </w:tr>
      <w:tr w:rsidTr="00E2507D">
        <w:tblPrEx>
          <w:tblW w:w="9050" w:type="dxa"/>
          <w:tblLook w:val="04A0"/>
        </w:tblPrEx>
        <w:trPr>
          <w:trHeight w:val="462"/>
        </w:trPr>
        <w:tc>
          <w:tcPr>
            <w:tcW w:w="750" w:type="dxa"/>
            <w:tcBorders>
              <w:top w:val="nil"/>
              <w:left w:val="single" w:sz="4" w:space="0" w:color="auto"/>
              <w:bottom w:val="single" w:sz="4" w:space="0" w:color="auto"/>
              <w:right w:val="single" w:sz="4" w:space="0" w:color="auto"/>
            </w:tcBorders>
            <w:shd w:val="clear" w:color="auto" w:fill="auto"/>
            <w:vAlign w:val="center"/>
          </w:tcPr>
          <w:p w:rsidR="00E2507D" w:rsidRPr="001301AB" w:rsidP="00E2507D">
            <w:pPr>
              <w:autoSpaceDE/>
              <w:autoSpaceDN/>
              <w:adjustRightInd/>
              <w:spacing w:after="0"/>
              <w:jc w:val="center"/>
              <w:rPr>
                <w:rFonts w:eastAsia="Times New Roman" w:cs="Arial"/>
                <w:b/>
                <w:bCs/>
                <w:lang w:eastAsia="en-GB"/>
              </w:rPr>
            </w:pPr>
            <w:r w:rsidRPr="001301AB">
              <w:rPr>
                <w:rFonts w:eastAsia="Times New Roman" w:cs="Arial"/>
                <w:b/>
                <w:bCs/>
                <w:lang w:eastAsia="en-GB"/>
              </w:rPr>
              <w:t>3.6.5</w:t>
            </w:r>
          </w:p>
        </w:tc>
        <w:tc>
          <w:tcPr>
            <w:tcW w:w="2216" w:type="dxa"/>
            <w:tcBorders>
              <w:top w:val="nil"/>
              <w:left w:val="nil"/>
              <w:bottom w:val="single" w:sz="4" w:space="0" w:color="auto"/>
              <w:right w:val="single" w:sz="4" w:space="0" w:color="auto"/>
            </w:tcBorders>
            <w:shd w:val="clear" w:color="auto" w:fill="auto"/>
            <w:vAlign w:val="center"/>
          </w:tcPr>
          <w:p w:rsidR="00E2507D" w:rsidRPr="001301AB" w:rsidP="00E2507D">
            <w:pPr>
              <w:autoSpaceDE/>
              <w:autoSpaceDN/>
              <w:adjustRightInd/>
              <w:spacing w:after="0"/>
              <w:jc w:val="left"/>
              <w:rPr>
                <w:rFonts w:eastAsia="Times New Roman" w:cs="Arial"/>
                <w:lang w:eastAsia="en-GB"/>
              </w:rPr>
            </w:pPr>
            <w:r w:rsidRPr="001301AB">
              <w:rPr>
                <w:rFonts w:eastAsia="Times New Roman" w:cs="Arial"/>
                <w:lang w:eastAsia="en-GB"/>
              </w:rPr>
              <w:t>Design and Construction</w:t>
            </w:r>
          </w:p>
        </w:tc>
        <w:tc>
          <w:tcPr>
            <w:tcW w:w="1337" w:type="dxa"/>
            <w:tcBorders>
              <w:top w:val="nil"/>
              <w:left w:val="single" w:sz="4" w:space="0" w:color="auto"/>
              <w:bottom w:val="single" w:sz="4" w:space="0" w:color="auto"/>
              <w:right w:val="single" w:sz="4" w:space="0" w:color="auto"/>
            </w:tcBorders>
            <w:shd w:val="clear" w:color="auto" w:fill="auto"/>
            <w:vAlign w:val="center"/>
          </w:tcPr>
          <w:p w:rsidR="00E2507D" w:rsidRPr="001301AB" w:rsidP="00E2507D">
            <w:pPr>
              <w:autoSpaceDE/>
              <w:autoSpaceDN/>
              <w:adjustRightInd/>
              <w:spacing w:after="0"/>
              <w:jc w:val="right"/>
              <w:rPr>
                <w:rFonts w:eastAsia="Times New Roman" w:cs="Arial"/>
                <w:highlight w:val="yellow"/>
                <w:lang w:eastAsia="en-GB"/>
              </w:rPr>
            </w:pPr>
            <w:r w:rsidRPr="001301AB">
              <w:rPr>
                <w:rFonts w:eastAsia="Times New Roman" w:cs="Arial"/>
                <w:lang w:eastAsia="en-GB"/>
              </w:rPr>
              <w:t>-2.986</w:t>
            </w:r>
          </w:p>
        </w:tc>
        <w:tc>
          <w:tcPr>
            <w:tcW w:w="1096" w:type="dxa"/>
            <w:tcBorders>
              <w:top w:val="nil"/>
              <w:left w:val="nil"/>
              <w:bottom w:val="single" w:sz="4" w:space="0" w:color="auto"/>
              <w:right w:val="single" w:sz="4" w:space="0" w:color="auto"/>
            </w:tcBorders>
            <w:shd w:val="clear" w:color="auto" w:fill="auto"/>
            <w:vAlign w:val="center"/>
          </w:tcPr>
          <w:p w:rsidR="00E2507D" w:rsidRPr="00CD2323" w:rsidP="00E2507D">
            <w:pPr>
              <w:autoSpaceDE/>
              <w:autoSpaceDN/>
              <w:adjustRightInd/>
              <w:spacing w:after="0"/>
              <w:jc w:val="right"/>
              <w:rPr>
                <w:rFonts w:eastAsia="Times New Roman" w:cs="Arial"/>
                <w:lang w:eastAsia="en-GB"/>
              </w:rPr>
            </w:pPr>
            <w:r w:rsidRPr="00CD2323">
              <w:rPr>
                <w:rFonts w:cs="Arial"/>
              </w:rPr>
              <w:t>-1.202</w:t>
            </w:r>
          </w:p>
        </w:tc>
        <w:tc>
          <w:tcPr>
            <w:tcW w:w="1217" w:type="dxa"/>
            <w:tcBorders>
              <w:top w:val="nil"/>
              <w:left w:val="nil"/>
              <w:bottom w:val="single" w:sz="4" w:space="0" w:color="auto"/>
              <w:right w:val="single" w:sz="4" w:space="0" w:color="auto"/>
            </w:tcBorders>
            <w:shd w:val="clear" w:color="000000" w:fill="D9D9D9"/>
            <w:vAlign w:val="center"/>
          </w:tcPr>
          <w:p w:rsidR="00E2507D" w:rsidRPr="00CD2323" w:rsidP="00E2507D">
            <w:pPr>
              <w:autoSpaceDE/>
              <w:autoSpaceDN/>
              <w:adjustRightInd/>
              <w:spacing w:after="0"/>
              <w:jc w:val="right"/>
              <w:rPr>
                <w:rFonts w:eastAsia="Times New Roman" w:cs="Arial"/>
                <w:lang w:eastAsia="en-GB"/>
              </w:rPr>
            </w:pPr>
            <w:r w:rsidRPr="00CD2323">
              <w:rPr>
                <w:rFonts w:cs="Arial"/>
              </w:rPr>
              <w:t>1.784</w:t>
            </w:r>
          </w:p>
        </w:tc>
        <w:tc>
          <w:tcPr>
            <w:tcW w:w="1217" w:type="dxa"/>
            <w:tcBorders>
              <w:top w:val="nil"/>
              <w:left w:val="single" w:sz="4" w:space="0" w:color="auto"/>
              <w:bottom w:val="single" w:sz="4" w:space="0" w:color="auto"/>
              <w:right w:val="single" w:sz="4" w:space="0" w:color="auto"/>
            </w:tcBorders>
            <w:vAlign w:val="center"/>
          </w:tcPr>
          <w:p w:rsidR="00E2507D" w:rsidRPr="00CD2323" w:rsidP="00E2507D">
            <w:pPr>
              <w:autoSpaceDE/>
              <w:autoSpaceDN/>
              <w:adjustRightInd/>
              <w:spacing w:after="0"/>
              <w:jc w:val="center"/>
              <w:rPr>
                <w:rFonts w:cs="Arial"/>
              </w:rPr>
            </w:pPr>
            <w:r w:rsidRPr="00CD2323">
              <w:rPr>
                <w:rFonts w:cs="Arial"/>
              </w:rPr>
              <w:t>59.75%</w:t>
            </w:r>
          </w:p>
        </w:tc>
        <w:tc>
          <w:tcPr>
            <w:tcW w:w="1217" w:type="dxa"/>
            <w:tcBorders>
              <w:top w:val="nil"/>
              <w:left w:val="single" w:sz="4" w:space="0" w:color="auto"/>
              <w:bottom w:val="single" w:sz="4" w:space="0" w:color="auto"/>
              <w:right w:val="single" w:sz="4" w:space="0" w:color="auto"/>
            </w:tcBorders>
            <w:shd w:val="clear" w:color="auto" w:fill="auto"/>
            <w:vAlign w:val="center"/>
          </w:tcPr>
          <w:p w:rsidR="00E2507D" w:rsidRPr="00CD2323" w:rsidP="00E2507D">
            <w:pPr>
              <w:autoSpaceDE/>
              <w:autoSpaceDN/>
              <w:adjustRightInd/>
              <w:spacing w:after="0"/>
              <w:jc w:val="right"/>
              <w:rPr>
                <w:rFonts w:eastAsia="Times New Roman" w:cs="Arial"/>
                <w:lang w:eastAsia="en-GB"/>
              </w:rPr>
            </w:pPr>
            <w:r w:rsidRPr="00CD2323">
              <w:rPr>
                <w:rFonts w:cs="Arial"/>
              </w:rPr>
              <w:t>1.363</w:t>
            </w:r>
          </w:p>
        </w:tc>
      </w:tr>
      <w:tr w:rsidTr="00E2507D">
        <w:tblPrEx>
          <w:tblW w:w="9050" w:type="dxa"/>
          <w:tblLook w:val="04A0"/>
        </w:tblPrEx>
        <w:trPr>
          <w:trHeight w:val="581"/>
        </w:trPr>
        <w:tc>
          <w:tcPr>
            <w:tcW w:w="750" w:type="dxa"/>
            <w:tcBorders>
              <w:top w:val="nil"/>
              <w:left w:val="single" w:sz="4" w:space="0" w:color="auto"/>
              <w:bottom w:val="single" w:sz="4" w:space="0" w:color="auto"/>
              <w:right w:val="single" w:sz="4" w:space="0" w:color="auto"/>
            </w:tcBorders>
            <w:shd w:val="clear" w:color="000000" w:fill="D9D9D9"/>
            <w:vAlign w:val="center"/>
            <w:hideMark/>
          </w:tcPr>
          <w:p w:rsidR="00E2507D" w:rsidRPr="001301AB" w:rsidP="00E2507D">
            <w:pPr>
              <w:autoSpaceDE/>
              <w:autoSpaceDN/>
              <w:adjustRightInd/>
              <w:spacing w:after="0"/>
              <w:jc w:val="center"/>
              <w:rPr>
                <w:rFonts w:eastAsia="Times New Roman" w:cs="Arial"/>
                <w:b/>
                <w:bCs/>
                <w:lang w:eastAsia="en-GB"/>
              </w:rPr>
            </w:pPr>
            <w:r w:rsidRPr="001301AB">
              <w:rPr>
                <w:rFonts w:eastAsia="Times New Roman" w:cs="Arial"/>
                <w:b/>
                <w:bCs/>
                <w:lang w:eastAsia="en-GB"/>
              </w:rPr>
              <w:t> </w:t>
            </w:r>
          </w:p>
        </w:tc>
        <w:tc>
          <w:tcPr>
            <w:tcW w:w="2216" w:type="dxa"/>
            <w:tcBorders>
              <w:top w:val="nil"/>
              <w:left w:val="nil"/>
              <w:bottom w:val="single" w:sz="4" w:space="0" w:color="auto"/>
              <w:right w:val="single" w:sz="4" w:space="0" w:color="auto"/>
            </w:tcBorders>
            <w:shd w:val="clear" w:color="000000" w:fill="D9D9D9"/>
            <w:vAlign w:val="center"/>
            <w:hideMark/>
          </w:tcPr>
          <w:p w:rsidR="00E2507D" w:rsidRPr="001301AB" w:rsidP="00E2507D">
            <w:pPr>
              <w:autoSpaceDE/>
              <w:autoSpaceDN/>
              <w:adjustRightInd/>
              <w:spacing w:after="0"/>
              <w:jc w:val="left"/>
              <w:rPr>
                <w:rFonts w:eastAsia="Times New Roman" w:cs="Arial"/>
                <w:b/>
                <w:bCs/>
                <w:lang w:eastAsia="en-GB"/>
              </w:rPr>
            </w:pPr>
            <w:r w:rsidRPr="001301AB">
              <w:rPr>
                <w:rFonts w:eastAsia="Times New Roman" w:cs="Arial"/>
                <w:b/>
                <w:bCs/>
                <w:lang w:eastAsia="en-GB"/>
              </w:rPr>
              <w:t>Total – Highways and Transport</w:t>
            </w:r>
          </w:p>
        </w:tc>
        <w:tc>
          <w:tcPr>
            <w:tcW w:w="1337" w:type="dxa"/>
            <w:tcBorders>
              <w:top w:val="nil"/>
              <w:left w:val="single" w:sz="4" w:space="0" w:color="auto"/>
              <w:bottom w:val="single" w:sz="4" w:space="0" w:color="auto"/>
              <w:right w:val="single" w:sz="4" w:space="0" w:color="auto"/>
            </w:tcBorders>
            <w:shd w:val="clear" w:color="000000" w:fill="D9D9D9"/>
            <w:vAlign w:val="center"/>
            <w:hideMark/>
          </w:tcPr>
          <w:p w:rsidR="00E2507D" w:rsidRPr="001301AB" w:rsidP="00E2507D">
            <w:pPr>
              <w:autoSpaceDE/>
              <w:autoSpaceDN/>
              <w:adjustRightInd/>
              <w:spacing w:after="0"/>
              <w:jc w:val="right"/>
              <w:rPr>
                <w:rFonts w:eastAsia="Times New Roman" w:cs="Arial"/>
                <w:b/>
                <w:bCs/>
                <w:highlight w:val="yellow"/>
                <w:lang w:eastAsia="en-GB"/>
              </w:rPr>
            </w:pPr>
            <w:r w:rsidRPr="001301AB">
              <w:rPr>
                <w:rFonts w:eastAsia="Times New Roman" w:cs="Arial"/>
                <w:b/>
                <w:bCs/>
                <w:lang w:eastAsia="en-GB"/>
              </w:rPr>
              <w:t>126.025</w:t>
            </w:r>
          </w:p>
        </w:tc>
        <w:tc>
          <w:tcPr>
            <w:tcW w:w="1096" w:type="dxa"/>
            <w:tcBorders>
              <w:top w:val="nil"/>
              <w:left w:val="nil"/>
              <w:bottom w:val="single" w:sz="4" w:space="0" w:color="auto"/>
              <w:right w:val="single" w:sz="4" w:space="0" w:color="auto"/>
            </w:tcBorders>
            <w:shd w:val="clear" w:color="000000" w:fill="D9D9D9"/>
            <w:vAlign w:val="center"/>
            <w:hideMark/>
          </w:tcPr>
          <w:p w:rsidR="00E2507D" w:rsidRPr="00CD2323" w:rsidP="00E2507D">
            <w:pPr>
              <w:autoSpaceDE/>
              <w:autoSpaceDN/>
              <w:adjustRightInd/>
              <w:spacing w:after="0"/>
              <w:jc w:val="right"/>
              <w:rPr>
                <w:rFonts w:eastAsia="Times New Roman" w:cs="Arial"/>
                <w:b/>
                <w:bCs/>
                <w:lang w:eastAsia="en-GB"/>
              </w:rPr>
            </w:pPr>
            <w:r w:rsidRPr="00CD2323">
              <w:rPr>
                <w:rFonts w:cs="Arial"/>
                <w:b/>
                <w:bCs/>
              </w:rPr>
              <w:t>127.681</w:t>
            </w:r>
          </w:p>
        </w:tc>
        <w:tc>
          <w:tcPr>
            <w:tcW w:w="1217" w:type="dxa"/>
            <w:tcBorders>
              <w:top w:val="nil"/>
              <w:left w:val="nil"/>
              <w:bottom w:val="single" w:sz="4" w:space="0" w:color="auto"/>
              <w:right w:val="single" w:sz="4" w:space="0" w:color="auto"/>
            </w:tcBorders>
            <w:shd w:val="clear" w:color="000000" w:fill="D9D9D9"/>
            <w:vAlign w:val="center"/>
            <w:hideMark/>
          </w:tcPr>
          <w:p w:rsidR="00E2507D" w:rsidRPr="00CD2323" w:rsidP="00E2507D">
            <w:pPr>
              <w:autoSpaceDE/>
              <w:autoSpaceDN/>
              <w:adjustRightInd/>
              <w:spacing w:after="0"/>
              <w:jc w:val="right"/>
              <w:rPr>
                <w:rFonts w:eastAsia="Times New Roman" w:cs="Arial"/>
                <w:b/>
                <w:bCs/>
                <w:lang w:eastAsia="en-GB"/>
              </w:rPr>
            </w:pPr>
            <w:r w:rsidRPr="00CD2323">
              <w:rPr>
                <w:rFonts w:cs="Arial"/>
                <w:b/>
                <w:bCs/>
              </w:rPr>
              <w:t>1.656</w:t>
            </w:r>
          </w:p>
        </w:tc>
        <w:tc>
          <w:tcPr>
            <w:tcW w:w="1217" w:type="dxa"/>
            <w:tcBorders>
              <w:top w:val="nil"/>
              <w:left w:val="single" w:sz="4" w:space="0" w:color="auto"/>
              <w:bottom w:val="single" w:sz="4" w:space="0" w:color="auto"/>
              <w:right w:val="single" w:sz="4" w:space="0" w:color="auto"/>
            </w:tcBorders>
            <w:shd w:val="clear" w:color="000000" w:fill="D9D9D9"/>
            <w:vAlign w:val="center"/>
          </w:tcPr>
          <w:p w:rsidR="00E2507D" w:rsidRPr="00CD2323" w:rsidP="00E2507D">
            <w:pPr>
              <w:autoSpaceDE/>
              <w:autoSpaceDN/>
              <w:adjustRightInd/>
              <w:spacing w:after="0"/>
              <w:jc w:val="right"/>
              <w:rPr>
                <w:rFonts w:cs="Arial"/>
                <w:b/>
                <w:bCs/>
              </w:rPr>
            </w:pPr>
            <w:r w:rsidRPr="00CD2323">
              <w:rPr>
                <w:rFonts w:cs="Arial"/>
                <w:b/>
                <w:bCs/>
              </w:rPr>
              <w:t>1.31%</w:t>
            </w:r>
          </w:p>
        </w:tc>
        <w:tc>
          <w:tcPr>
            <w:tcW w:w="1217" w:type="dxa"/>
            <w:tcBorders>
              <w:top w:val="nil"/>
              <w:left w:val="single" w:sz="4" w:space="0" w:color="auto"/>
              <w:bottom w:val="single" w:sz="4" w:space="0" w:color="auto"/>
              <w:right w:val="single" w:sz="4" w:space="0" w:color="auto"/>
            </w:tcBorders>
            <w:shd w:val="clear" w:color="000000" w:fill="D9D9D9"/>
            <w:vAlign w:val="center"/>
            <w:hideMark/>
          </w:tcPr>
          <w:p w:rsidR="00E2507D" w:rsidRPr="00CD2323" w:rsidP="00E2507D">
            <w:pPr>
              <w:autoSpaceDE/>
              <w:autoSpaceDN/>
              <w:adjustRightInd/>
              <w:spacing w:after="0"/>
              <w:jc w:val="right"/>
              <w:rPr>
                <w:rFonts w:eastAsia="Times New Roman" w:cs="Arial"/>
                <w:b/>
                <w:bCs/>
                <w:lang w:eastAsia="en-GB"/>
              </w:rPr>
            </w:pPr>
            <w:r w:rsidRPr="00CD2323">
              <w:rPr>
                <w:rFonts w:cs="Arial"/>
                <w:b/>
                <w:bCs/>
              </w:rPr>
              <w:t>1.218</w:t>
            </w:r>
          </w:p>
        </w:tc>
      </w:tr>
    </w:tbl>
    <w:p w:rsidR="00E2507D" w:rsidRPr="00506BBC" w:rsidP="00E2507D">
      <w:pPr>
        <w:spacing w:after="0"/>
        <w:rPr>
          <w:rFonts w:cs="Arial"/>
          <w:highlight w:val="yellow"/>
        </w:rPr>
      </w:pPr>
    </w:p>
    <w:p w:rsidR="00E2507D" w:rsidRPr="00E30192" w:rsidP="00E2507D">
      <w:pPr>
        <w:spacing w:after="0"/>
        <w:rPr>
          <w:rFonts w:cs="Arial"/>
        </w:rPr>
      </w:pPr>
      <w:r>
        <w:rPr>
          <w:rFonts w:cs="Arial"/>
        </w:rPr>
        <w:t>Highways and Transport over</w:t>
      </w:r>
      <w:r w:rsidRPr="00E30192">
        <w:rPr>
          <w:rFonts w:cs="Arial"/>
        </w:rPr>
        <w:t>spent by £1.656m in 2019/20</w:t>
      </w:r>
      <w:r>
        <w:rPr>
          <w:rFonts w:cs="Arial"/>
        </w:rPr>
        <w:t xml:space="preserve">. The </w:t>
      </w:r>
      <w:r w:rsidRPr="00E30192">
        <w:rPr>
          <w:rFonts w:cs="Arial"/>
        </w:rPr>
        <w:t>overspend has increased by £438,000 compared to the forecast reported to Cabinet at Quarter 3.</w:t>
      </w:r>
    </w:p>
    <w:p w:rsidR="00E2507D" w:rsidRPr="00506BBC" w:rsidP="00E2507D">
      <w:pPr>
        <w:spacing w:after="0"/>
        <w:rPr>
          <w:rFonts w:cs="Arial"/>
          <w:highlight w:val="yellow"/>
        </w:rPr>
      </w:pPr>
    </w:p>
    <w:p w:rsidR="00E2507D" w:rsidRPr="00EC78FD" w:rsidP="00E2507D">
      <w:pPr>
        <w:spacing w:after="0"/>
        <w:rPr>
          <w:rFonts w:cs="Arial"/>
        </w:rPr>
      </w:pPr>
      <w:r w:rsidRPr="00711F8A">
        <w:rPr>
          <w:rFonts w:cs="Arial"/>
          <w:b/>
        </w:rPr>
        <w:t>3.6.1 Waste Management</w:t>
      </w:r>
      <w:r w:rsidRPr="00864D5D">
        <w:rPr>
          <w:rFonts w:cs="Arial"/>
        </w:rPr>
        <w:t xml:space="preserve"> has underspent by £2.358m due to a combination of factors, the most significant of which is a reduction in waste arisings during the year. A further significant underspend related to processing of waste at Thornton, which as a result of the diversion of a higher than assumed volume of waste away from landfill, has reduced costs. These underspends more than covered cost pressures relating to reduced income from recycled waste and the rising costs of insurance.  </w:t>
      </w:r>
    </w:p>
    <w:p w:rsidR="00E2507D" w:rsidRPr="00506BBC" w:rsidP="00E2507D">
      <w:pPr>
        <w:spacing w:after="0"/>
        <w:rPr>
          <w:rFonts w:cs="Arial"/>
          <w:highlight w:val="yellow"/>
        </w:rPr>
      </w:pPr>
    </w:p>
    <w:p w:rsidR="00E2507D" w:rsidRPr="00A319CC" w:rsidP="00E2507D">
      <w:pPr>
        <w:spacing w:after="0"/>
        <w:rPr>
          <w:rFonts w:cs="Arial"/>
        </w:rPr>
      </w:pPr>
      <w:r w:rsidRPr="00711F8A">
        <w:rPr>
          <w:rFonts w:cs="Arial"/>
          <w:b/>
        </w:rPr>
        <w:t>3.6.2 Highways</w:t>
      </w:r>
      <w:r w:rsidRPr="00A319CC">
        <w:rPr>
          <w:rFonts w:cs="Arial"/>
        </w:rPr>
        <w:t xml:space="preserve"> has overspent on revenue by £744,000 in 2019/20. This is due to a combination of factors including lower than budgeted utilisation of plant on capital work, increased maintenance costs of gritting vehicles, an increase in the number of turnouts and increased spend on storm damage following the storms in February 2020. These overspends were somewhat mitigated by additional income recovery and staffing underspends.</w:t>
      </w:r>
    </w:p>
    <w:p w:rsidR="00E2507D" w:rsidRPr="00506BBC" w:rsidP="00E2507D">
      <w:pPr>
        <w:spacing w:after="0"/>
        <w:rPr>
          <w:rFonts w:cs="Arial"/>
          <w:highlight w:val="yellow"/>
        </w:rPr>
      </w:pPr>
    </w:p>
    <w:p w:rsidR="00E2507D" w:rsidRPr="002E52E6" w:rsidP="00E2507D">
      <w:pPr>
        <w:rPr>
          <w:rFonts w:cs="Arial"/>
        </w:rPr>
      </w:pPr>
      <w:r w:rsidRPr="00711F8A">
        <w:rPr>
          <w:rFonts w:cs="Arial"/>
          <w:b/>
        </w:rPr>
        <w:t>3.6.3 Public and Integrated Transport</w:t>
      </w:r>
      <w:r w:rsidRPr="00713DE3">
        <w:rPr>
          <w:rFonts w:cs="Arial"/>
        </w:rPr>
        <w:t xml:space="preserve"> </w:t>
      </w:r>
      <w:r w:rsidRPr="002E52E6">
        <w:rPr>
          <w:rFonts w:cs="Arial"/>
        </w:rPr>
        <w:t>has overspent by £1.839m which shows increased costs of £284,000 from the position reported at Quarter 3. The full year overspend is as a result of various factors.</w:t>
      </w:r>
    </w:p>
    <w:p w:rsidR="00E2507D" w:rsidRPr="002E52E6" w:rsidP="00E2507D">
      <w:pPr>
        <w:rPr>
          <w:rFonts w:cs="Arial"/>
        </w:rPr>
      </w:pPr>
      <w:r w:rsidRPr="002E52E6">
        <w:rPr>
          <w:rFonts w:cs="Arial"/>
        </w:rPr>
        <w:t xml:space="preserve">There are overspends on transporting pupils with special educational needs and disabilities and excluded pupils (£1.606m). This is due to a combination of non-delivery of savings relating to independent travel training (£1.000m) and higher inflation and passenger numbers on taxi's than had been allowed for in the budget (£606,000). </w:t>
      </w:r>
    </w:p>
    <w:p w:rsidR="00E2507D" w:rsidP="00E2507D">
      <w:pPr>
        <w:autoSpaceDE/>
        <w:autoSpaceDN/>
        <w:adjustRightInd/>
        <w:spacing w:after="0" w:line="259" w:lineRule="auto"/>
        <w:contextualSpacing/>
        <w:jc w:val="left"/>
        <w:rPr>
          <w:rFonts w:cs="Arial"/>
          <w:color w:val="auto"/>
        </w:rPr>
      </w:pPr>
      <w:r>
        <w:rPr>
          <w:rFonts w:cs="Arial"/>
          <w:color w:val="auto"/>
        </w:rPr>
        <w:t>Further o</w:t>
      </w:r>
      <w:r w:rsidRPr="00A319CC">
        <w:rPr>
          <w:rFonts w:cs="Arial"/>
          <w:color w:val="auto"/>
        </w:rPr>
        <w:t>verspends of £1.090m relate to t</w:t>
      </w:r>
      <w:r>
        <w:rPr>
          <w:rFonts w:cs="Arial"/>
          <w:color w:val="auto"/>
        </w:rPr>
        <w:t>he tendered public bus network with fare income being lower than anticipated and addit</w:t>
      </w:r>
      <w:r w:rsidRPr="00A319CC">
        <w:rPr>
          <w:rFonts w:cs="Arial"/>
          <w:color w:val="auto"/>
        </w:rPr>
        <w:t>ional services being met from county council budgets.</w:t>
      </w:r>
    </w:p>
    <w:p w:rsidR="00E2507D" w:rsidP="00E2507D">
      <w:pPr>
        <w:autoSpaceDE/>
        <w:autoSpaceDN/>
        <w:adjustRightInd/>
        <w:spacing w:after="0" w:line="259" w:lineRule="auto"/>
        <w:contextualSpacing/>
        <w:jc w:val="left"/>
        <w:rPr>
          <w:rFonts w:cs="Arial"/>
          <w:color w:val="auto"/>
        </w:rPr>
      </w:pPr>
    </w:p>
    <w:p w:rsidR="00E2507D" w:rsidP="00E2507D">
      <w:pPr>
        <w:autoSpaceDE/>
        <w:autoSpaceDN/>
        <w:adjustRightInd/>
        <w:spacing w:after="0" w:line="259" w:lineRule="auto"/>
        <w:contextualSpacing/>
        <w:jc w:val="left"/>
        <w:rPr>
          <w:rFonts w:cs="Arial"/>
          <w:color w:val="auto"/>
        </w:rPr>
      </w:pPr>
      <w:r>
        <w:rPr>
          <w:rFonts w:cs="Arial"/>
          <w:color w:val="auto"/>
        </w:rPr>
        <w:t>There are further small overspends relating to bus station departure charges and additional external costs of fleet repair</w:t>
      </w:r>
      <w:r w:rsidRPr="00A319CC">
        <w:rPr>
          <w:rFonts w:cs="Arial"/>
          <w:color w:val="auto"/>
        </w:rPr>
        <w:t>.</w:t>
      </w:r>
    </w:p>
    <w:p w:rsidR="00E2507D" w:rsidP="00E2507D">
      <w:pPr>
        <w:autoSpaceDE/>
        <w:autoSpaceDN/>
        <w:adjustRightInd/>
        <w:spacing w:after="0" w:line="259" w:lineRule="auto"/>
        <w:contextualSpacing/>
        <w:jc w:val="left"/>
        <w:rPr>
          <w:rFonts w:cs="Arial"/>
          <w:color w:val="auto"/>
        </w:rPr>
      </w:pPr>
    </w:p>
    <w:p w:rsidR="00E2507D" w:rsidRPr="00A319CC" w:rsidP="00E2507D">
      <w:pPr>
        <w:autoSpaceDE/>
        <w:autoSpaceDN/>
        <w:adjustRightInd/>
        <w:spacing w:after="0" w:line="259" w:lineRule="auto"/>
        <w:contextualSpacing/>
        <w:jc w:val="left"/>
        <w:rPr>
          <w:rFonts w:cs="Arial"/>
          <w:color w:val="auto"/>
        </w:rPr>
      </w:pPr>
      <w:r>
        <w:rPr>
          <w:rFonts w:cs="Arial"/>
          <w:color w:val="auto"/>
        </w:rPr>
        <w:t>The</w:t>
      </w:r>
      <w:r w:rsidRPr="00A319CC">
        <w:rPr>
          <w:rFonts w:cs="Arial"/>
          <w:color w:val="auto"/>
        </w:rPr>
        <w:t xml:space="preserve"> overspends are partly offset by underspends of £1.568m on concessionary travel due to lower passenger numbers.</w:t>
      </w:r>
      <w:r w:rsidRPr="00A319CC">
        <w:rPr>
          <w:rFonts w:ascii="Calibri" w:hAnsi="Calibri" w:cs="Times New Roman"/>
          <w:color w:val="auto"/>
          <w:sz w:val="22"/>
          <w:szCs w:val="22"/>
        </w:rPr>
        <w:t xml:space="preserve"> </w:t>
      </w:r>
      <w:r w:rsidRPr="00A319CC">
        <w:rPr>
          <w:rFonts w:cs="Arial"/>
          <w:color w:val="auto"/>
        </w:rPr>
        <w:t>Payments for March were based on previous passenger numbers rather than actual numbers so as not to unfairly penalise bus operators during the COVID-19 pandemic.</w:t>
      </w:r>
    </w:p>
    <w:p w:rsidR="00E2507D" w:rsidRPr="00A319CC" w:rsidP="00E2507D">
      <w:pPr>
        <w:autoSpaceDE/>
        <w:autoSpaceDN/>
        <w:adjustRightInd/>
        <w:spacing w:after="0"/>
        <w:contextualSpacing/>
        <w:rPr>
          <w:rFonts w:cs="Arial"/>
          <w:color w:val="auto"/>
        </w:rPr>
      </w:pPr>
    </w:p>
    <w:p w:rsidR="00E2507D" w:rsidRPr="002E52E6" w:rsidP="00E2507D">
      <w:pPr>
        <w:spacing w:after="0"/>
        <w:rPr>
          <w:rFonts w:cs="Arial"/>
        </w:rPr>
      </w:pPr>
      <w:r w:rsidRPr="00711F8A">
        <w:rPr>
          <w:rFonts w:cs="Arial"/>
          <w:b/>
        </w:rPr>
        <w:t xml:space="preserve">3.6.4 Customer Access </w:t>
      </w:r>
      <w:r w:rsidRPr="002E52E6">
        <w:rPr>
          <w:rFonts w:cs="Arial"/>
        </w:rPr>
        <w:t xml:space="preserve">has underspent by £353,000 predominantly due to additional income. </w:t>
      </w:r>
    </w:p>
    <w:p w:rsidR="00E2507D" w:rsidRPr="00506BBC" w:rsidP="00E2507D">
      <w:pPr>
        <w:spacing w:after="0"/>
        <w:rPr>
          <w:rFonts w:cs="Arial"/>
          <w:highlight w:val="yellow"/>
        </w:rPr>
      </w:pPr>
    </w:p>
    <w:p w:rsidR="00E2507D" w:rsidRPr="00BE7646" w:rsidP="00E2507D">
      <w:pPr>
        <w:spacing w:after="0"/>
        <w:rPr>
          <w:rFonts w:cs="Arial"/>
        </w:rPr>
      </w:pPr>
      <w:r w:rsidRPr="00711F8A">
        <w:rPr>
          <w:rFonts w:cs="Arial"/>
          <w:b/>
        </w:rPr>
        <w:t>3.6.5 Design and Construction</w:t>
      </w:r>
      <w:r w:rsidRPr="00BE7646">
        <w:rPr>
          <w:rFonts w:cs="Arial"/>
          <w:b/>
          <w:i/>
        </w:rPr>
        <w:t xml:space="preserve"> </w:t>
      </w:r>
      <w:r>
        <w:rPr>
          <w:rFonts w:cs="Arial"/>
        </w:rPr>
        <w:t>has overs</w:t>
      </w:r>
      <w:r w:rsidRPr="00BE7646">
        <w:rPr>
          <w:rFonts w:cs="Arial"/>
        </w:rPr>
        <w:t xml:space="preserve">pent by £1.784m in 2019/20. </w:t>
      </w:r>
    </w:p>
    <w:p w:rsidR="00E2507D" w:rsidRPr="00BE7646" w:rsidP="00E2507D">
      <w:pPr>
        <w:spacing w:after="0"/>
        <w:rPr>
          <w:rFonts w:cs="Arial"/>
        </w:rPr>
      </w:pPr>
    </w:p>
    <w:p w:rsidR="00E2507D" w:rsidRPr="00BE7646" w:rsidP="00E2507D">
      <w:pPr>
        <w:spacing w:after="0"/>
        <w:rPr>
          <w:rFonts w:cs="Arial"/>
        </w:rPr>
      </w:pPr>
      <w:r w:rsidRPr="00BE7646">
        <w:rPr>
          <w:rFonts w:cs="Arial"/>
        </w:rPr>
        <w:t>Design and Construction property overspent by £1.388m with lower than budgeted recovery of income totalling £2.137m being partly offset by underspends of £749,000 on staffing and agency costs. The service flexes staffing, but the mix of projects delivered in 2019/20 means the staffing underspend was significantly lower than the reduction in income.</w:t>
      </w:r>
    </w:p>
    <w:p w:rsidR="00E2507D" w:rsidRPr="00BE7646" w:rsidP="00E2507D">
      <w:pPr>
        <w:spacing w:after="0"/>
        <w:rPr>
          <w:rFonts w:cs="Arial"/>
        </w:rPr>
      </w:pPr>
    </w:p>
    <w:p w:rsidR="00E2507D" w:rsidRPr="00BE7646" w:rsidP="00E2507D">
      <w:pPr>
        <w:spacing w:after="0"/>
        <w:rPr>
          <w:rFonts w:cs="Arial"/>
        </w:rPr>
      </w:pPr>
      <w:r w:rsidRPr="00BE7646">
        <w:rPr>
          <w:rFonts w:cs="Arial"/>
        </w:rPr>
        <w:t>Design and Construction highways overspent by £396,000. This is an income generating service and so whilst there have been several vacancies resulting in a significant staffing underspend, this was offset by larger under recovery of income.</w:t>
      </w:r>
    </w:p>
    <w:p w:rsidR="00E2507D" w:rsidRPr="009D7867" w:rsidP="00E2507D">
      <w:pPr>
        <w:spacing w:after="0"/>
        <w:rPr>
          <w:rFonts w:cs="Arial"/>
          <w:highlight w:val="yellow"/>
        </w:rPr>
      </w:pPr>
    </w:p>
    <w:p w:rsidR="00E2507D" w:rsidRPr="009D7867" w:rsidP="00E2507D">
      <w:pPr>
        <w:spacing w:after="0"/>
        <w:rPr>
          <w:rFonts w:cs="Arial"/>
          <w:b/>
        </w:rPr>
      </w:pPr>
      <w:r w:rsidRPr="009D7867">
        <w:rPr>
          <w:rFonts w:cs="Arial"/>
        </w:rPr>
        <w:t>The service reported overspends of £1.363m to Cabinet as at the end of quarter 3, compared to £1.784m at the end of the financial year, an increased overspend of £421,000.  This is predominantly due to being unable to claim fees on a building project at Shuttleworth College.</w:t>
      </w:r>
    </w:p>
    <w:p w:rsidR="00E2507D" w:rsidP="00E2507D">
      <w:pPr>
        <w:spacing w:after="0"/>
        <w:rPr>
          <w:rFonts w:eastAsia="Times New Roman" w:cs="Arial"/>
          <w:b/>
          <w:lang w:eastAsia="en-GB"/>
        </w:rPr>
      </w:pPr>
    </w:p>
    <w:p w:rsidR="00E2507D" w:rsidRPr="009D7892" w:rsidP="00E2507D">
      <w:pPr>
        <w:spacing w:after="0"/>
        <w:rPr>
          <w:rFonts w:cs="Arial"/>
          <w:b/>
        </w:rPr>
      </w:pPr>
      <w:r w:rsidRPr="009D7892">
        <w:rPr>
          <w:rFonts w:eastAsia="Times New Roman" w:cs="Arial"/>
          <w:b/>
          <w:lang w:eastAsia="en-GB"/>
        </w:rPr>
        <w:t>3.7</w:t>
      </w:r>
      <w:r w:rsidRPr="009D7892">
        <w:rPr>
          <w:rFonts w:eastAsia="Times New Roman" w:cs="Arial"/>
          <w:b/>
          <w:lang w:eastAsia="en-GB"/>
        </w:rPr>
        <w:tab/>
      </w:r>
      <w:r w:rsidRPr="009D7892">
        <w:rPr>
          <w:rFonts w:cs="Arial"/>
          <w:b/>
        </w:rPr>
        <w:t xml:space="preserve">Finance </w:t>
      </w:r>
    </w:p>
    <w:p w:rsidR="00E2507D" w:rsidRPr="009D7892" w:rsidP="00E2507D">
      <w:pPr>
        <w:autoSpaceDE/>
        <w:autoSpaceDN/>
        <w:adjustRightInd/>
        <w:spacing w:after="0"/>
        <w:jc w:val="left"/>
        <w:rPr>
          <w:b/>
        </w:rPr>
      </w:pPr>
    </w:p>
    <w:tbl>
      <w:tblPr>
        <w:tblW w:w="9356" w:type="dxa"/>
        <w:tblInd w:w="-147" w:type="dxa"/>
        <w:tblLook w:val="04A0"/>
      </w:tblPr>
      <w:tblGrid>
        <w:gridCol w:w="822"/>
        <w:gridCol w:w="2514"/>
        <w:gridCol w:w="1273"/>
        <w:gridCol w:w="1023"/>
        <w:gridCol w:w="1134"/>
        <w:gridCol w:w="1217"/>
        <w:gridCol w:w="1373"/>
      </w:tblGrid>
      <w:tr w:rsidTr="00E2507D">
        <w:tblPrEx>
          <w:tblW w:w="9356" w:type="dxa"/>
          <w:tblInd w:w="-147" w:type="dxa"/>
          <w:tblLook w:val="04A0"/>
        </w:tblPrEx>
        <w:trPr>
          <w:trHeight w:val="693"/>
        </w:trPr>
        <w:tc>
          <w:tcPr>
            <w:tcW w:w="822" w:type="dxa"/>
            <w:tcBorders>
              <w:top w:val="single" w:sz="4" w:space="0" w:color="auto"/>
              <w:left w:val="single" w:sz="4" w:space="0" w:color="auto"/>
              <w:bottom w:val="nil"/>
              <w:right w:val="single" w:sz="4" w:space="0" w:color="auto"/>
            </w:tcBorders>
            <w:shd w:val="clear" w:color="000000" w:fill="D9D9D9"/>
            <w:vAlign w:val="center"/>
            <w:hideMark/>
          </w:tcPr>
          <w:p w:rsidR="00E2507D" w:rsidRPr="009D7892" w:rsidP="00E2507D">
            <w:pPr>
              <w:autoSpaceDE/>
              <w:autoSpaceDN/>
              <w:adjustRightInd/>
              <w:spacing w:after="0"/>
              <w:jc w:val="center"/>
              <w:rPr>
                <w:rFonts w:eastAsia="Times New Roman" w:cs="Arial"/>
                <w:b/>
                <w:bCs/>
                <w:sz w:val="22"/>
                <w:szCs w:val="22"/>
                <w:lang w:eastAsia="en-GB"/>
              </w:rPr>
            </w:pPr>
            <w:r w:rsidRPr="009D7892">
              <w:rPr>
                <w:rFonts w:eastAsia="Times New Roman" w:cs="Arial"/>
                <w:b/>
                <w:bCs/>
                <w:sz w:val="22"/>
                <w:szCs w:val="22"/>
                <w:lang w:eastAsia="en-GB"/>
              </w:rPr>
              <w:t>Ref</w:t>
            </w:r>
          </w:p>
        </w:tc>
        <w:tc>
          <w:tcPr>
            <w:tcW w:w="2514" w:type="dxa"/>
            <w:tcBorders>
              <w:top w:val="single" w:sz="4" w:space="0" w:color="auto"/>
              <w:left w:val="nil"/>
              <w:bottom w:val="nil"/>
              <w:right w:val="single" w:sz="4" w:space="0" w:color="auto"/>
            </w:tcBorders>
            <w:shd w:val="clear" w:color="000000" w:fill="D9D9D9"/>
            <w:vAlign w:val="center"/>
            <w:hideMark/>
          </w:tcPr>
          <w:p w:rsidR="00E2507D" w:rsidRPr="009D7892" w:rsidP="00E2507D">
            <w:pPr>
              <w:autoSpaceDE/>
              <w:autoSpaceDN/>
              <w:adjustRightInd/>
              <w:spacing w:after="0"/>
              <w:jc w:val="center"/>
              <w:rPr>
                <w:rFonts w:eastAsia="Times New Roman" w:cs="Arial"/>
                <w:b/>
                <w:bCs/>
                <w:sz w:val="22"/>
                <w:szCs w:val="22"/>
                <w:lang w:eastAsia="en-GB"/>
              </w:rPr>
            </w:pPr>
            <w:r w:rsidRPr="009D7892">
              <w:rPr>
                <w:rFonts w:eastAsia="Times New Roman" w:cs="Arial"/>
                <w:b/>
                <w:bCs/>
                <w:sz w:val="22"/>
                <w:szCs w:val="22"/>
                <w:lang w:eastAsia="en-GB"/>
              </w:rPr>
              <w:t>Head of Service</w:t>
            </w:r>
          </w:p>
        </w:tc>
        <w:tc>
          <w:tcPr>
            <w:tcW w:w="1273" w:type="dxa"/>
            <w:tcBorders>
              <w:top w:val="single" w:sz="4" w:space="0" w:color="auto"/>
              <w:left w:val="nil"/>
              <w:bottom w:val="nil"/>
              <w:right w:val="single" w:sz="4" w:space="0" w:color="auto"/>
            </w:tcBorders>
            <w:shd w:val="clear" w:color="000000" w:fill="D9D9D9"/>
            <w:vAlign w:val="center"/>
            <w:hideMark/>
          </w:tcPr>
          <w:p w:rsidR="00E2507D" w:rsidRPr="009D7892" w:rsidP="00E2507D">
            <w:pPr>
              <w:autoSpaceDE/>
              <w:autoSpaceDN/>
              <w:adjustRightInd/>
              <w:spacing w:after="0"/>
              <w:jc w:val="center"/>
              <w:rPr>
                <w:rFonts w:eastAsia="Times New Roman" w:cs="Arial"/>
                <w:b/>
                <w:bCs/>
                <w:sz w:val="22"/>
                <w:szCs w:val="22"/>
                <w:lang w:eastAsia="en-GB"/>
              </w:rPr>
            </w:pPr>
            <w:r w:rsidRPr="009D7892">
              <w:rPr>
                <w:rFonts w:eastAsia="Times New Roman" w:cs="Arial"/>
                <w:b/>
                <w:bCs/>
                <w:sz w:val="22"/>
                <w:szCs w:val="22"/>
                <w:lang w:eastAsia="en-GB"/>
              </w:rPr>
              <w:t>Approved Budget</w:t>
            </w:r>
          </w:p>
        </w:tc>
        <w:tc>
          <w:tcPr>
            <w:tcW w:w="1023" w:type="dxa"/>
            <w:tcBorders>
              <w:top w:val="single" w:sz="4" w:space="0" w:color="auto"/>
              <w:left w:val="nil"/>
              <w:bottom w:val="nil"/>
              <w:right w:val="single" w:sz="4" w:space="0" w:color="auto"/>
            </w:tcBorders>
            <w:shd w:val="clear" w:color="000000" w:fill="D9D9D9"/>
            <w:vAlign w:val="center"/>
            <w:hideMark/>
          </w:tcPr>
          <w:p w:rsidR="00E2507D" w:rsidRPr="009D7892" w:rsidP="00E2507D">
            <w:pPr>
              <w:autoSpaceDE/>
              <w:autoSpaceDN/>
              <w:adjustRightInd/>
              <w:spacing w:after="0"/>
              <w:jc w:val="center"/>
              <w:rPr>
                <w:rFonts w:eastAsia="Times New Roman" w:cs="Arial"/>
                <w:b/>
                <w:bCs/>
                <w:sz w:val="22"/>
                <w:szCs w:val="22"/>
                <w:lang w:eastAsia="en-GB"/>
              </w:rPr>
            </w:pPr>
            <w:r w:rsidRPr="009D7892">
              <w:rPr>
                <w:rFonts w:eastAsia="Times New Roman" w:cs="Arial"/>
                <w:b/>
                <w:bCs/>
                <w:sz w:val="22"/>
                <w:szCs w:val="22"/>
                <w:lang w:eastAsia="en-GB"/>
              </w:rPr>
              <w:t>Outturn</w:t>
            </w:r>
          </w:p>
        </w:tc>
        <w:tc>
          <w:tcPr>
            <w:tcW w:w="1134" w:type="dxa"/>
            <w:tcBorders>
              <w:top w:val="single" w:sz="4" w:space="0" w:color="auto"/>
              <w:left w:val="nil"/>
              <w:bottom w:val="nil"/>
              <w:right w:val="single" w:sz="4" w:space="0" w:color="auto"/>
            </w:tcBorders>
            <w:shd w:val="clear" w:color="000000" w:fill="D9D9D9"/>
            <w:vAlign w:val="center"/>
            <w:hideMark/>
          </w:tcPr>
          <w:p w:rsidR="00E2507D" w:rsidRPr="009D7892" w:rsidP="00E2507D">
            <w:pPr>
              <w:autoSpaceDE/>
              <w:autoSpaceDN/>
              <w:adjustRightInd/>
              <w:spacing w:after="0"/>
              <w:jc w:val="center"/>
              <w:rPr>
                <w:rFonts w:eastAsia="Times New Roman" w:cs="Arial"/>
                <w:b/>
                <w:bCs/>
                <w:sz w:val="22"/>
                <w:szCs w:val="22"/>
                <w:lang w:eastAsia="en-GB"/>
              </w:rPr>
            </w:pPr>
            <w:r w:rsidRPr="009D7892">
              <w:rPr>
                <w:rFonts w:eastAsia="Times New Roman" w:cs="Arial"/>
                <w:b/>
                <w:bCs/>
                <w:sz w:val="22"/>
                <w:szCs w:val="22"/>
                <w:lang w:eastAsia="en-GB"/>
              </w:rPr>
              <w:t>Outturn Variance</w:t>
            </w:r>
          </w:p>
        </w:tc>
        <w:tc>
          <w:tcPr>
            <w:tcW w:w="1217" w:type="dxa"/>
            <w:tcBorders>
              <w:top w:val="single" w:sz="4" w:space="0" w:color="auto"/>
              <w:left w:val="nil"/>
              <w:bottom w:val="nil"/>
              <w:right w:val="single" w:sz="4" w:space="0" w:color="auto"/>
            </w:tcBorders>
            <w:shd w:val="clear" w:color="000000" w:fill="D9D9D9"/>
            <w:hideMark/>
          </w:tcPr>
          <w:p w:rsidR="00E2507D" w:rsidRPr="009D7892" w:rsidP="00E2507D">
            <w:pPr>
              <w:autoSpaceDE/>
              <w:autoSpaceDN/>
              <w:adjustRightInd/>
              <w:spacing w:after="0"/>
              <w:jc w:val="center"/>
              <w:rPr>
                <w:rFonts w:eastAsia="Times New Roman" w:cs="Arial"/>
                <w:b/>
                <w:bCs/>
                <w:sz w:val="22"/>
                <w:szCs w:val="22"/>
                <w:lang w:eastAsia="en-GB"/>
              </w:rPr>
            </w:pPr>
            <w:r w:rsidRPr="009D7892">
              <w:rPr>
                <w:b/>
              </w:rPr>
              <w:t>Outturn Variance</w:t>
            </w:r>
          </w:p>
        </w:tc>
        <w:tc>
          <w:tcPr>
            <w:tcW w:w="1373" w:type="dxa"/>
            <w:tcBorders>
              <w:top w:val="single" w:sz="4" w:space="0" w:color="auto"/>
              <w:left w:val="nil"/>
              <w:bottom w:val="nil"/>
              <w:right w:val="single" w:sz="4" w:space="0" w:color="auto"/>
            </w:tcBorders>
            <w:shd w:val="clear" w:color="000000" w:fill="D9D9D9"/>
            <w:hideMark/>
          </w:tcPr>
          <w:p w:rsidR="00E2507D" w:rsidRPr="009D7892" w:rsidP="00E2507D">
            <w:pPr>
              <w:autoSpaceDE/>
              <w:autoSpaceDN/>
              <w:adjustRightInd/>
              <w:spacing w:after="0"/>
              <w:jc w:val="center"/>
              <w:rPr>
                <w:rFonts w:eastAsia="Times New Roman" w:cs="Arial"/>
                <w:b/>
                <w:bCs/>
                <w:sz w:val="22"/>
                <w:szCs w:val="22"/>
                <w:lang w:eastAsia="en-GB"/>
              </w:rPr>
            </w:pPr>
            <w:r w:rsidRPr="009D7892">
              <w:rPr>
                <w:b/>
              </w:rPr>
              <w:t xml:space="preserve">Q3 Forecast Variance </w:t>
            </w:r>
          </w:p>
        </w:tc>
      </w:tr>
      <w:tr w:rsidTr="00E2507D">
        <w:tblPrEx>
          <w:tblW w:w="9356" w:type="dxa"/>
          <w:tblInd w:w="-147" w:type="dxa"/>
          <w:tblLook w:val="04A0"/>
        </w:tblPrEx>
        <w:trPr>
          <w:trHeight w:val="340"/>
        </w:trPr>
        <w:tc>
          <w:tcPr>
            <w:tcW w:w="822" w:type="dxa"/>
            <w:tcBorders>
              <w:top w:val="nil"/>
              <w:left w:val="single" w:sz="4" w:space="0" w:color="auto"/>
              <w:bottom w:val="single" w:sz="4" w:space="0" w:color="auto"/>
              <w:right w:val="single" w:sz="4" w:space="0" w:color="auto"/>
            </w:tcBorders>
            <w:shd w:val="clear" w:color="000000" w:fill="D9D9D9"/>
            <w:vAlign w:val="bottom"/>
            <w:hideMark/>
          </w:tcPr>
          <w:p w:rsidR="00E2507D" w:rsidRPr="009D7892" w:rsidP="00E2507D">
            <w:pPr>
              <w:autoSpaceDE/>
              <w:autoSpaceDN/>
              <w:adjustRightInd/>
              <w:spacing w:after="0"/>
              <w:jc w:val="center"/>
              <w:rPr>
                <w:rFonts w:eastAsia="Times New Roman" w:cs="Arial"/>
                <w:b/>
                <w:bCs/>
                <w:sz w:val="22"/>
                <w:szCs w:val="22"/>
                <w:lang w:eastAsia="en-GB"/>
              </w:rPr>
            </w:pPr>
            <w:r w:rsidRPr="009D7892">
              <w:rPr>
                <w:rFonts w:eastAsia="Times New Roman" w:cs="Arial"/>
                <w:b/>
                <w:bCs/>
                <w:sz w:val="22"/>
                <w:szCs w:val="22"/>
                <w:lang w:eastAsia="en-GB"/>
              </w:rPr>
              <w:t> </w:t>
            </w:r>
          </w:p>
        </w:tc>
        <w:tc>
          <w:tcPr>
            <w:tcW w:w="2514" w:type="dxa"/>
            <w:tcBorders>
              <w:top w:val="nil"/>
              <w:left w:val="nil"/>
              <w:bottom w:val="single" w:sz="4" w:space="0" w:color="auto"/>
              <w:right w:val="single" w:sz="4" w:space="0" w:color="auto"/>
            </w:tcBorders>
            <w:shd w:val="clear" w:color="000000" w:fill="D9D9D9"/>
            <w:vAlign w:val="bottom"/>
            <w:hideMark/>
          </w:tcPr>
          <w:p w:rsidR="00E2507D" w:rsidRPr="009D7892" w:rsidP="00E2507D">
            <w:pPr>
              <w:autoSpaceDE/>
              <w:autoSpaceDN/>
              <w:adjustRightInd/>
              <w:spacing w:after="0"/>
              <w:jc w:val="center"/>
              <w:rPr>
                <w:rFonts w:eastAsia="Times New Roman" w:cs="Arial"/>
                <w:b/>
                <w:bCs/>
                <w:sz w:val="22"/>
                <w:szCs w:val="22"/>
                <w:lang w:eastAsia="en-GB"/>
              </w:rPr>
            </w:pPr>
            <w:r w:rsidRPr="009D7892">
              <w:rPr>
                <w:rFonts w:eastAsia="Times New Roman" w:cs="Arial"/>
                <w:b/>
                <w:bCs/>
                <w:sz w:val="22"/>
                <w:szCs w:val="22"/>
                <w:lang w:eastAsia="en-GB"/>
              </w:rPr>
              <w:t> </w:t>
            </w:r>
          </w:p>
        </w:tc>
        <w:tc>
          <w:tcPr>
            <w:tcW w:w="1273" w:type="dxa"/>
            <w:tcBorders>
              <w:top w:val="nil"/>
              <w:left w:val="nil"/>
              <w:bottom w:val="single" w:sz="4" w:space="0" w:color="auto"/>
              <w:right w:val="single" w:sz="4" w:space="0" w:color="auto"/>
            </w:tcBorders>
            <w:shd w:val="clear" w:color="000000" w:fill="D9D9D9"/>
            <w:vAlign w:val="bottom"/>
            <w:hideMark/>
          </w:tcPr>
          <w:p w:rsidR="00E2507D" w:rsidRPr="009D7892" w:rsidP="00E2507D">
            <w:pPr>
              <w:autoSpaceDE/>
              <w:autoSpaceDN/>
              <w:adjustRightInd/>
              <w:spacing w:after="0"/>
              <w:jc w:val="center"/>
              <w:rPr>
                <w:rFonts w:eastAsia="Times New Roman" w:cs="Arial"/>
                <w:b/>
                <w:bCs/>
                <w:sz w:val="22"/>
                <w:szCs w:val="22"/>
                <w:lang w:eastAsia="en-GB"/>
              </w:rPr>
            </w:pPr>
            <w:r w:rsidRPr="009D7892">
              <w:rPr>
                <w:rFonts w:eastAsia="Times New Roman" w:cs="Arial"/>
                <w:b/>
                <w:bCs/>
                <w:sz w:val="22"/>
                <w:szCs w:val="22"/>
                <w:lang w:eastAsia="en-GB"/>
              </w:rPr>
              <w:t xml:space="preserve"> £m </w:t>
            </w:r>
          </w:p>
        </w:tc>
        <w:tc>
          <w:tcPr>
            <w:tcW w:w="1023" w:type="dxa"/>
            <w:tcBorders>
              <w:top w:val="nil"/>
              <w:left w:val="nil"/>
              <w:bottom w:val="single" w:sz="4" w:space="0" w:color="auto"/>
              <w:right w:val="single" w:sz="4" w:space="0" w:color="auto"/>
            </w:tcBorders>
            <w:shd w:val="clear" w:color="000000" w:fill="D9D9D9"/>
            <w:vAlign w:val="bottom"/>
            <w:hideMark/>
          </w:tcPr>
          <w:p w:rsidR="00E2507D" w:rsidRPr="009D7892" w:rsidP="00E2507D">
            <w:pPr>
              <w:autoSpaceDE/>
              <w:autoSpaceDN/>
              <w:adjustRightInd/>
              <w:spacing w:after="0"/>
              <w:jc w:val="center"/>
              <w:rPr>
                <w:rFonts w:eastAsia="Times New Roman" w:cs="Arial"/>
                <w:b/>
                <w:bCs/>
                <w:sz w:val="22"/>
                <w:szCs w:val="22"/>
                <w:lang w:eastAsia="en-GB"/>
              </w:rPr>
            </w:pPr>
            <w:r w:rsidRPr="009D7892">
              <w:rPr>
                <w:rFonts w:eastAsia="Times New Roman" w:cs="Arial"/>
                <w:b/>
                <w:bCs/>
                <w:sz w:val="22"/>
                <w:szCs w:val="22"/>
                <w:lang w:eastAsia="en-GB"/>
              </w:rPr>
              <w:t xml:space="preserve"> £m </w:t>
            </w:r>
          </w:p>
        </w:tc>
        <w:tc>
          <w:tcPr>
            <w:tcW w:w="1134" w:type="dxa"/>
            <w:tcBorders>
              <w:top w:val="nil"/>
              <w:left w:val="nil"/>
              <w:bottom w:val="single" w:sz="4" w:space="0" w:color="auto"/>
              <w:right w:val="single" w:sz="4" w:space="0" w:color="auto"/>
            </w:tcBorders>
            <w:shd w:val="clear" w:color="000000" w:fill="D9D9D9"/>
            <w:vAlign w:val="bottom"/>
            <w:hideMark/>
          </w:tcPr>
          <w:p w:rsidR="00E2507D" w:rsidRPr="009D7892" w:rsidP="00E2507D">
            <w:pPr>
              <w:autoSpaceDE/>
              <w:autoSpaceDN/>
              <w:adjustRightInd/>
              <w:spacing w:after="0"/>
              <w:jc w:val="center"/>
              <w:rPr>
                <w:rFonts w:eastAsia="Times New Roman" w:cs="Arial"/>
                <w:b/>
                <w:bCs/>
                <w:sz w:val="22"/>
                <w:szCs w:val="22"/>
                <w:lang w:eastAsia="en-GB"/>
              </w:rPr>
            </w:pPr>
            <w:r w:rsidRPr="009D7892">
              <w:rPr>
                <w:rFonts w:eastAsia="Times New Roman" w:cs="Arial"/>
                <w:b/>
                <w:bCs/>
                <w:sz w:val="22"/>
                <w:szCs w:val="22"/>
                <w:lang w:eastAsia="en-GB"/>
              </w:rPr>
              <w:t xml:space="preserve"> £m </w:t>
            </w:r>
          </w:p>
        </w:tc>
        <w:tc>
          <w:tcPr>
            <w:tcW w:w="1217" w:type="dxa"/>
            <w:tcBorders>
              <w:top w:val="nil"/>
              <w:left w:val="nil"/>
              <w:bottom w:val="single" w:sz="4" w:space="0" w:color="auto"/>
              <w:right w:val="single" w:sz="4" w:space="0" w:color="auto"/>
            </w:tcBorders>
            <w:shd w:val="clear" w:color="000000" w:fill="D9D9D9"/>
            <w:hideMark/>
          </w:tcPr>
          <w:p w:rsidR="00E2507D" w:rsidRPr="009D7892" w:rsidP="00E2507D">
            <w:pPr>
              <w:autoSpaceDE/>
              <w:autoSpaceDN/>
              <w:adjustRightInd/>
              <w:spacing w:after="0"/>
              <w:jc w:val="center"/>
              <w:rPr>
                <w:rFonts w:eastAsia="Times New Roman" w:cs="Arial"/>
                <w:b/>
                <w:bCs/>
                <w:sz w:val="22"/>
                <w:szCs w:val="22"/>
                <w:lang w:eastAsia="en-GB"/>
              </w:rPr>
            </w:pPr>
            <w:r w:rsidRPr="009D7892">
              <w:rPr>
                <w:b/>
              </w:rPr>
              <w:t>%</w:t>
            </w:r>
          </w:p>
        </w:tc>
        <w:tc>
          <w:tcPr>
            <w:tcW w:w="1373" w:type="dxa"/>
            <w:tcBorders>
              <w:top w:val="nil"/>
              <w:left w:val="nil"/>
              <w:bottom w:val="single" w:sz="4" w:space="0" w:color="auto"/>
              <w:right w:val="single" w:sz="4" w:space="0" w:color="auto"/>
            </w:tcBorders>
            <w:shd w:val="clear" w:color="000000" w:fill="D9D9D9"/>
            <w:hideMark/>
          </w:tcPr>
          <w:p w:rsidR="00E2507D" w:rsidRPr="009D7892" w:rsidP="00E2507D">
            <w:pPr>
              <w:autoSpaceDE/>
              <w:autoSpaceDN/>
              <w:adjustRightInd/>
              <w:spacing w:after="0"/>
              <w:jc w:val="center"/>
              <w:rPr>
                <w:rFonts w:eastAsia="Times New Roman" w:cs="Arial"/>
                <w:b/>
                <w:bCs/>
                <w:sz w:val="22"/>
                <w:szCs w:val="22"/>
                <w:lang w:eastAsia="en-GB"/>
              </w:rPr>
            </w:pPr>
            <w:r w:rsidRPr="009D7892">
              <w:rPr>
                <w:b/>
              </w:rPr>
              <w:t xml:space="preserve"> £m </w:t>
            </w:r>
          </w:p>
        </w:tc>
      </w:tr>
      <w:tr w:rsidTr="00E2507D">
        <w:tblPrEx>
          <w:tblW w:w="9356" w:type="dxa"/>
          <w:tblInd w:w="-147" w:type="dxa"/>
          <w:tblLook w:val="04A0"/>
        </w:tblPrEx>
        <w:trPr>
          <w:trHeight w:val="506"/>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E2507D" w:rsidRPr="001301AB" w:rsidP="00E2507D">
            <w:pPr>
              <w:autoSpaceDE/>
              <w:autoSpaceDN/>
              <w:adjustRightInd/>
              <w:spacing w:after="0"/>
              <w:jc w:val="center"/>
              <w:rPr>
                <w:rFonts w:eastAsia="Times New Roman" w:cs="Arial"/>
                <w:b/>
                <w:bCs/>
                <w:lang w:eastAsia="en-GB"/>
              </w:rPr>
            </w:pPr>
            <w:r w:rsidRPr="001301AB">
              <w:rPr>
                <w:rFonts w:eastAsia="Times New Roman" w:cs="Arial"/>
                <w:b/>
                <w:bCs/>
                <w:lang w:eastAsia="en-GB"/>
              </w:rPr>
              <w:t>3.7.1</w:t>
            </w:r>
          </w:p>
        </w:tc>
        <w:tc>
          <w:tcPr>
            <w:tcW w:w="2514" w:type="dxa"/>
            <w:tcBorders>
              <w:top w:val="nil"/>
              <w:left w:val="nil"/>
              <w:bottom w:val="single" w:sz="4" w:space="0" w:color="auto"/>
              <w:right w:val="single" w:sz="4" w:space="0" w:color="auto"/>
            </w:tcBorders>
            <w:shd w:val="clear" w:color="auto" w:fill="auto"/>
            <w:vAlign w:val="center"/>
            <w:hideMark/>
          </w:tcPr>
          <w:p w:rsidR="00E2507D" w:rsidRPr="001301AB" w:rsidP="00E2507D">
            <w:pPr>
              <w:autoSpaceDE/>
              <w:autoSpaceDN/>
              <w:adjustRightInd/>
              <w:spacing w:after="0"/>
              <w:jc w:val="left"/>
              <w:rPr>
                <w:rFonts w:eastAsia="Times New Roman" w:cs="Arial"/>
                <w:lang w:eastAsia="en-GB"/>
              </w:rPr>
            </w:pPr>
            <w:r w:rsidRPr="001301AB">
              <w:rPr>
                <w:rFonts w:eastAsia="Times New Roman" w:cs="Arial"/>
                <w:lang w:eastAsia="en-GB"/>
              </w:rPr>
              <w:t>BTLS</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E2507D" w:rsidRPr="001301AB" w:rsidP="00E2507D">
            <w:pPr>
              <w:autoSpaceDE/>
              <w:autoSpaceDN/>
              <w:adjustRightInd/>
              <w:spacing w:after="0"/>
              <w:jc w:val="right"/>
              <w:rPr>
                <w:rFonts w:eastAsia="Times New Roman" w:cs="Arial"/>
                <w:highlight w:val="yellow"/>
                <w:lang w:eastAsia="en-GB"/>
              </w:rPr>
            </w:pPr>
            <w:r w:rsidRPr="001301AB">
              <w:rPr>
                <w:rFonts w:eastAsia="Times New Roman" w:cs="Arial"/>
                <w:lang w:eastAsia="en-GB"/>
              </w:rPr>
              <w:t>23.656</w:t>
            </w:r>
          </w:p>
        </w:tc>
        <w:tc>
          <w:tcPr>
            <w:tcW w:w="1023" w:type="dxa"/>
            <w:tcBorders>
              <w:top w:val="single" w:sz="4" w:space="0" w:color="auto"/>
              <w:left w:val="nil"/>
              <w:bottom w:val="single" w:sz="4" w:space="0" w:color="auto"/>
              <w:right w:val="single" w:sz="4" w:space="0" w:color="auto"/>
            </w:tcBorders>
            <w:shd w:val="clear" w:color="auto" w:fill="auto"/>
            <w:vAlign w:val="center"/>
          </w:tcPr>
          <w:p w:rsidR="00E2507D" w:rsidRPr="003156DA" w:rsidP="00E2507D">
            <w:pPr>
              <w:autoSpaceDE/>
              <w:autoSpaceDN/>
              <w:adjustRightInd/>
              <w:spacing w:after="0"/>
              <w:jc w:val="right"/>
              <w:rPr>
                <w:rFonts w:eastAsia="Times New Roman" w:cs="Arial"/>
                <w:lang w:eastAsia="en-GB"/>
              </w:rPr>
            </w:pPr>
            <w:r w:rsidRPr="003156DA">
              <w:rPr>
                <w:rFonts w:cs="Arial"/>
              </w:rPr>
              <w:t>23.482</w:t>
            </w:r>
          </w:p>
        </w:tc>
        <w:tc>
          <w:tcPr>
            <w:tcW w:w="1134" w:type="dxa"/>
            <w:tcBorders>
              <w:top w:val="single" w:sz="4" w:space="0" w:color="auto"/>
              <w:left w:val="nil"/>
              <w:bottom w:val="single" w:sz="4" w:space="0" w:color="auto"/>
              <w:right w:val="single" w:sz="4" w:space="0" w:color="auto"/>
            </w:tcBorders>
            <w:shd w:val="clear" w:color="000000" w:fill="D9D9D9"/>
            <w:vAlign w:val="center"/>
          </w:tcPr>
          <w:p w:rsidR="00E2507D" w:rsidRPr="003156DA" w:rsidP="00E2507D">
            <w:pPr>
              <w:autoSpaceDE/>
              <w:autoSpaceDN/>
              <w:adjustRightInd/>
              <w:spacing w:after="0"/>
              <w:jc w:val="right"/>
              <w:rPr>
                <w:rFonts w:eastAsia="Times New Roman" w:cs="Arial"/>
                <w:lang w:eastAsia="en-GB"/>
              </w:rPr>
            </w:pPr>
            <w:r w:rsidRPr="003156DA">
              <w:rPr>
                <w:rFonts w:cs="Arial"/>
              </w:rPr>
              <w:t>-0.174</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E2507D" w:rsidRPr="003156DA" w:rsidP="00E2507D">
            <w:pPr>
              <w:autoSpaceDE/>
              <w:autoSpaceDN/>
              <w:adjustRightInd/>
              <w:spacing w:after="0"/>
              <w:jc w:val="right"/>
              <w:rPr>
                <w:rFonts w:eastAsia="Times New Roman" w:cs="Arial"/>
                <w:lang w:eastAsia="en-GB"/>
              </w:rPr>
            </w:pPr>
            <w:r w:rsidRPr="003156DA">
              <w:rPr>
                <w:rFonts w:cs="Arial"/>
              </w:rPr>
              <w:t>-0.74%</w:t>
            </w:r>
          </w:p>
        </w:tc>
        <w:tc>
          <w:tcPr>
            <w:tcW w:w="1373" w:type="dxa"/>
            <w:tcBorders>
              <w:top w:val="single" w:sz="4" w:space="0" w:color="auto"/>
              <w:left w:val="nil"/>
              <w:bottom w:val="single" w:sz="4" w:space="0" w:color="auto"/>
              <w:right w:val="single" w:sz="4" w:space="0" w:color="auto"/>
            </w:tcBorders>
            <w:shd w:val="clear" w:color="auto" w:fill="auto"/>
            <w:vAlign w:val="center"/>
          </w:tcPr>
          <w:p w:rsidR="00E2507D" w:rsidRPr="003156DA" w:rsidP="00E2507D">
            <w:pPr>
              <w:autoSpaceDE/>
              <w:autoSpaceDN/>
              <w:adjustRightInd/>
              <w:spacing w:after="0"/>
              <w:jc w:val="right"/>
              <w:rPr>
                <w:rFonts w:eastAsia="Times New Roman" w:cs="Arial"/>
                <w:lang w:eastAsia="en-GB"/>
              </w:rPr>
            </w:pPr>
            <w:r w:rsidRPr="003156DA">
              <w:rPr>
                <w:rFonts w:cs="Arial"/>
              </w:rPr>
              <w:t>-0.142</w:t>
            </w:r>
          </w:p>
        </w:tc>
      </w:tr>
      <w:tr w:rsidTr="00E2507D">
        <w:tblPrEx>
          <w:tblW w:w="9356" w:type="dxa"/>
          <w:tblInd w:w="-147" w:type="dxa"/>
          <w:tblLook w:val="04A0"/>
        </w:tblPrEx>
        <w:trPr>
          <w:trHeight w:val="506"/>
        </w:trPr>
        <w:tc>
          <w:tcPr>
            <w:tcW w:w="822" w:type="dxa"/>
            <w:tcBorders>
              <w:top w:val="nil"/>
              <w:left w:val="single" w:sz="4" w:space="0" w:color="auto"/>
              <w:bottom w:val="single" w:sz="4" w:space="0" w:color="auto"/>
              <w:right w:val="single" w:sz="4" w:space="0" w:color="auto"/>
            </w:tcBorders>
            <w:shd w:val="clear" w:color="000000" w:fill="FFFFFF"/>
            <w:vAlign w:val="center"/>
            <w:hideMark/>
          </w:tcPr>
          <w:p w:rsidR="00E2507D" w:rsidRPr="001301AB" w:rsidP="00E2507D">
            <w:pPr>
              <w:autoSpaceDE/>
              <w:autoSpaceDN/>
              <w:adjustRightInd/>
              <w:spacing w:after="0"/>
              <w:jc w:val="center"/>
              <w:rPr>
                <w:rFonts w:eastAsia="Times New Roman" w:cs="Arial"/>
                <w:b/>
                <w:bCs/>
                <w:lang w:eastAsia="en-GB"/>
              </w:rPr>
            </w:pPr>
            <w:r w:rsidRPr="001301AB">
              <w:rPr>
                <w:rFonts w:eastAsia="Times New Roman" w:cs="Arial"/>
                <w:b/>
                <w:bCs/>
                <w:lang w:eastAsia="en-GB"/>
              </w:rPr>
              <w:t>3.7.2</w:t>
            </w:r>
          </w:p>
        </w:tc>
        <w:tc>
          <w:tcPr>
            <w:tcW w:w="2514" w:type="dxa"/>
            <w:tcBorders>
              <w:top w:val="nil"/>
              <w:left w:val="nil"/>
              <w:bottom w:val="single" w:sz="4" w:space="0" w:color="auto"/>
              <w:right w:val="single" w:sz="4" w:space="0" w:color="auto"/>
            </w:tcBorders>
            <w:shd w:val="clear" w:color="000000" w:fill="FFFFFF"/>
            <w:vAlign w:val="center"/>
            <w:hideMark/>
          </w:tcPr>
          <w:p w:rsidR="00E2507D" w:rsidRPr="001301AB" w:rsidP="00E2507D">
            <w:pPr>
              <w:autoSpaceDE/>
              <w:autoSpaceDN/>
              <w:adjustRightInd/>
              <w:spacing w:after="0"/>
              <w:jc w:val="left"/>
              <w:rPr>
                <w:rFonts w:eastAsia="Times New Roman" w:cs="Arial"/>
                <w:lang w:eastAsia="en-GB"/>
              </w:rPr>
            </w:pPr>
            <w:r w:rsidRPr="001301AB">
              <w:rPr>
                <w:rFonts w:eastAsia="Times New Roman" w:cs="Arial"/>
                <w:lang w:eastAsia="en-GB"/>
              </w:rPr>
              <w:t>Lancashire Pension Fund</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E2507D" w:rsidRPr="001301AB" w:rsidP="00E2507D">
            <w:pPr>
              <w:autoSpaceDE/>
              <w:autoSpaceDN/>
              <w:adjustRightInd/>
              <w:spacing w:after="0"/>
              <w:jc w:val="right"/>
              <w:rPr>
                <w:rFonts w:eastAsia="Times New Roman" w:cs="Arial"/>
                <w:highlight w:val="yellow"/>
                <w:lang w:eastAsia="en-GB"/>
              </w:rPr>
            </w:pPr>
            <w:r w:rsidRPr="001301AB">
              <w:rPr>
                <w:rFonts w:eastAsia="Times New Roman" w:cs="Arial"/>
                <w:lang w:eastAsia="en-GB"/>
              </w:rPr>
              <w:t>0.000</w:t>
            </w:r>
          </w:p>
        </w:tc>
        <w:tc>
          <w:tcPr>
            <w:tcW w:w="1023" w:type="dxa"/>
            <w:tcBorders>
              <w:top w:val="single" w:sz="4" w:space="0" w:color="auto"/>
              <w:left w:val="nil"/>
              <w:bottom w:val="single" w:sz="4" w:space="0" w:color="auto"/>
              <w:right w:val="single" w:sz="4" w:space="0" w:color="auto"/>
            </w:tcBorders>
            <w:shd w:val="clear" w:color="auto" w:fill="auto"/>
            <w:vAlign w:val="center"/>
          </w:tcPr>
          <w:p w:rsidR="00E2507D" w:rsidRPr="003156DA" w:rsidP="00E2507D">
            <w:pPr>
              <w:autoSpaceDE/>
              <w:autoSpaceDN/>
              <w:adjustRightInd/>
              <w:spacing w:after="0"/>
              <w:jc w:val="right"/>
              <w:rPr>
                <w:rFonts w:eastAsia="Times New Roman" w:cs="Arial"/>
                <w:lang w:eastAsia="en-GB"/>
              </w:rPr>
            </w:pPr>
            <w:r w:rsidRPr="003156DA">
              <w:rPr>
                <w:rFonts w:cs="Arial"/>
              </w:rPr>
              <w:t>0.000</w:t>
            </w:r>
          </w:p>
        </w:tc>
        <w:tc>
          <w:tcPr>
            <w:tcW w:w="1134" w:type="dxa"/>
            <w:tcBorders>
              <w:top w:val="single" w:sz="4" w:space="0" w:color="auto"/>
              <w:left w:val="nil"/>
              <w:bottom w:val="single" w:sz="4" w:space="0" w:color="auto"/>
              <w:right w:val="single" w:sz="4" w:space="0" w:color="auto"/>
            </w:tcBorders>
            <w:shd w:val="clear" w:color="000000" w:fill="D9D9D9"/>
            <w:vAlign w:val="center"/>
          </w:tcPr>
          <w:p w:rsidR="00E2507D" w:rsidRPr="003156DA" w:rsidP="00E2507D">
            <w:pPr>
              <w:autoSpaceDE/>
              <w:autoSpaceDN/>
              <w:adjustRightInd/>
              <w:spacing w:after="0"/>
              <w:jc w:val="right"/>
              <w:rPr>
                <w:rFonts w:eastAsia="Times New Roman" w:cs="Arial"/>
                <w:lang w:eastAsia="en-GB"/>
              </w:rPr>
            </w:pPr>
            <w:r w:rsidRPr="003156DA">
              <w:rPr>
                <w:rFonts w:cs="Arial"/>
              </w:rPr>
              <w:t>0.000</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E2507D" w:rsidRPr="003156DA" w:rsidP="00E2507D">
            <w:pPr>
              <w:autoSpaceDE/>
              <w:autoSpaceDN/>
              <w:adjustRightInd/>
              <w:spacing w:after="0"/>
              <w:jc w:val="right"/>
              <w:rPr>
                <w:rFonts w:eastAsia="Times New Roman" w:cs="Arial"/>
                <w:lang w:eastAsia="en-GB"/>
              </w:rPr>
            </w:pPr>
            <w:r w:rsidRPr="003156DA">
              <w:rPr>
                <w:rFonts w:cs="Arial"/>
              </w:rPr>
              <w:t>0.00%</w:t>
            </w:r>
          </w:p>
        </w:tc>
        <w:tc>
          <w:tcPr>
            <w:tcW w:w="1373" w:type="dxa"/>
            <w:tcBorders>
              <w:top w:val="single" w:sz="4" w:space="0" w:color="auto"/>
              <w:left w:val="nil"/>
              <w:bottom w:val="single" w:sz="4" w:space="0" w:color="auto"/>
              <w:right w:val="single" w:sz="4" w:space="0" w:color="auto"/>
            </w:tcBorders>
            <w:shd w:val="clear" w:color="auto" w:fill="auto"/>
            <w:vAlign w:val="center"/>
          </w:tcPr>
          <w:p w:rsidR="00E2507D" w:rsidRPr="003156DA" w:rsidP="00E2507D">
            <w:pPr>
              <w:autoSpaceDE/>
              <w:autoSpaceDN/>
              <w:adjustRightInd/>
              <w:spacing w:after="0"/>
              <w:jc w:val="right"/>
              <w:rPr>
                <w:rFonts w:eastAsia="Times New Roman" w:cs="Arial"/>
                <w:lang w:eastAsia="en-GB"/>
              </w:rPr>
            </w:pPr>
            <w:r w:rsidRPr="003156DA">
              <w:rPr>
                <w:rFonts w:cs="Arial"/>
              </w:rPr>
              <w:t>0.000</w:t>
            </w:r>
          </w:p>
        </w:tc>
      </w:tr>
      <w:tr w:rsidTr="00E2507D">
        <w:tblPrEx>
          <w:tblW w:w="9356" w:type="dxa"/>
          <w:tblInd w:w="-147" w:type="dxa"/>
          <w:tblLook w:val="04A0"/>
        </w:tblPrEx>
        <w:trPr>
          <w:trHeight w:val="506"/>
        </w:trPr>
        <w:tc>
          <w:tcPr>
            <w:tcW w:w="822" w:type="dxa"/>
            <w:tcBorders>
              <w:top w:val="nil"/>
              <w:left w:val="single" w:sz="4" w:space="0" w:color="auto"/>
              <w:bottom w:val="single" w:sz="4" w:space="0" w:color="auto"/>
              <w:right w:val="single" w:sz="4" w:space="0" w:color="auto"/>
            </w:tcBorders>
            <w:shd w:val="clear" w:color="000000" w:fill="FFFFFF"/>
            <w:vAlign w:val="center"/>
            <w:hideMark/>
          </w:tcPr>
          <w:p w:rsidR="00E2507D" w:rsidRPr="001301AB" w:rsidP="00E2507D">
            <w:pPr>
              <w:autoSpaceDE/>
              <w:autoSpaceDN/>
              <w:adjustRightInd/>
              <w:spacing w:after="0"/>
              <w:jc w:val="center"/>
              <w:rPr>
                <w:rFonts w:eastAsia="Times New Roman" w:cs="Arial"/>
                <w:b/>
                <w:bCs/>
                <w:lang w:eastAsia="en-GB"/>
              </w:rPr>
            </w:pPr>
            <w:r w:rsidRPr="001301AB">
              <w:rPr>
                <w:rFonts w:eastAsia="Times New Roman" w:cs="Arial"/>
                <w:b/>
                <w:bCs/>
                <w:lang w:eastAsia="en-GB"/>
              </w:rPr>
              <w:t>3.7.3</w:t>
            </w:r>
          </w:p>
        </w:tc>
        <w:tc>
          <w:tcPr>
            <w:tcW w:w="2514" w:type="dxa"/>
            <w:tcBorders>
              <w:top w:val="nil"/>
              <w:left w:val="nil"/>
              <w:bottom w:val="single" w:sz="4" w:space="0" w:color="auto"/>
              <w:right w:val="single" w:sz="4" w:space="0" w:color="auto"/>
            </w:tcBorders>
            <w:shd w:val="clear" w:color="000000" w:fill="FFFFFF"/>
            <w:vAlign w:val="center"/>
            <w:hideMark/>
          </w:tcPr>
          <w:p w:rsidR="00E2507D" w:rsidRPr="001301AB" w:rsidP="00E2507D">
            <w:pPr>
              <w:autoSpaceDE/>
              <w:autoSpaceDN/>
              <w:adjustRightInd/>
              <w:spacing w:after="0"/>
              <w:jc w:val="left"/>
              <w:rPr>
                <w:rFonts w:eastAsia="Times New Roman" w:cs="Arial"/>
                <w:lang w:eastAsia="en-GB"/>
              </w:rPr>
            </w:pPr>
            <w:r w:rsidRPr="001301AB">
              <w:rPr>
                <w:rFonts w:eastAsia="Times New Roman" w:cs="Arial"/>
                <w:lang w:eastAsia="en-GB"/>
              </w:rPr>
              <w:t>Exchequer Services</w:t>
            </w:r>
          </w:p>
        </w:tc>
        <w:tc>
          <w:tcPr>
            <w:tcW w:w="1273" w:type="dxa"/>
            <w:tcBorders>
              <w:top w:val="nil"/>
              <w:left w:val="single" w:sz="4" w:space="0" w:color="auto"/>
              <w:bottom w:val="single" w:sz="4" w:space="0" w:color="auto"/>
              <w:right w:val="single" w:sz="4" w:space="0" w:color="auto"/>
            </w:tcBorders>
            <w:shd w:val="clear" w:color="auto" w:fill="auto"/>
            <w:vAlign w:val="center"/>
          </w:tcPr>
          <w:p w:rsidR="00E2507D" w:rsidRPr="001301AB" w:rsidP="00E2507D">
            <w:pPr>
              <w:autoSpaceDE/>
              <w:autoSpaceDN/>
              <w:adjustRightInd/>
              <w:spacing w:after="0"/>
              <w:jc w:val="right"/>
              <w:rPr>
                <w:rFonts w:eastAsia="Times New Roman" w:cs="Arial"/>
                <w:highlight w:val="yellow"/>
                <w:lang w:eastAsia="en-GB"/>
              </w:rPr>
            </w:pPr>
            <w:r w:rsidRPr="001301AB">
              <w:rPr>
                <w:rFonts w:eastAsia="Times New Roman" w:cs="Arial"/>
                <w:lang w:eastAsia="en-GB"/>
              </w:rPr>
              <w:t>3.597</w:t>
            </w:r>
          </w:p>
        </w:tc>
        <w:tc>
          <w:tcPr>
            <w:tcW w:w="1023" w:type="dxa"/>
            <w:tcBorders>
              <w:top w:val="nil"/>
              <w:left w:val="nil"/>
              <w:bottom w:val="single" w:sz="4" w:space="0" w:color="auto"/>
              <w:right w:val="single" w:sz="4" w:space="0" w:color="auto"/>
            </w:tcBorders>
            <w:shd w:val="clear" w:color="auto" w:fill="auto"/>
            <w:vAlign w:val="center"/>
          </w:tcPr>
          <w:p w:rsidR="00E2507D" w:rsidRPr="003156DA" w:rsidP="00E2507D">
            <w:pPr>
              <w:autoSpaceDE/>
              <w:autoSpaceDN/>
              <w:adjustRightInd/>
              <w:spacing w:after="0"/>
              <w:jc w:val="right"/>
              <w:rPr>
                <w:rFonts w:eastAsia="Times New Roman" w:cs="Arial"/>
                <w:lang w:eastAsia="en-GB"/>
              </w:rPr>
            </w:pPr>
            <w:r w:rsidRPr="003156DA">
              <w:rPr>
                <w:rFonts w:cs="Arial"/>
              </w:rPr>
              <w:t>3.162</w:t>
            </w:r>
          </w:p>
        </w:tc>
        <w:tc>
          <w:tcPr>
            <w:tcW w:w="1134" w:type="dxa"/>
            <w:tcBorders>
              <w:top w:val="nil"/>
              <w:left w:val="nil"/>
              <w:bottom w:val="single" w:sz="4" w:space="0" w:color="auto"/>
              <w:right w:val="single" w:sz="4" w:space="0" w:color="auto"/>
            </w:tcBorders>
            <w:shd w:val="clear" w:color="000000" w:fill="D9D9D9"/>
            <w:vAlign w:val="center"/>
          </w:tcPr>
          <w:p w:rsidR="00E2507D" w:rsidRPr="003156DA" w:rsidP="00E2507D">
            <w:pPr>
              <w:autoSpaceDE/>
              <w:autoSpaceDN/>
              <w:adjustRightInd/>
              <w:spacing w:after="0"/>
              <w:jc w:val="right"/>
              <w:rPr>
                <w:rFonts w:eastAsia="Times New Roman" w:cs="Arial"/>
                <w:lang w:eastAsia="en-GB"/>
              </w:rPr>
            </w:pPr>
            <w:r w:rsidRPr="003156DA">
              <w:rPr>
                <w:rFonts w:cs="Arial"/>
              </w:rPr>
              <w:t>-0.435</w:t>
            </w:r>
          </w:p>
        </w:tc>
        <w:tc>
          <w:tcPr>
            <w:tcW w:w="1217" w:type="dxa"/>
            <w:tcBorders>
              <w:top w:val="nil"/>
              <w:left w:val="single" w:sz="4" w:space="0" w:color="auto"/>
              <w:bottom w:val="single" w:sz="4" w:space="0" w:color="auto"/>
              <w:right w:val="single" w:sz="4" w:space="0" w:color="auto"/>
            </w:tcBorders>
            <w:shd w:val="clear" w:color="auto" w:fill="auto"/>
            <w:vAlign w:val="center"/>
          </w:tcPr>
          <w:p w:rsidR="00E2507D" w:rsidRPr="003156DA" w:rsidP="00E2507D">
            <w:pPr>
              <w:autoSpaceDE/>
              <w:autoSpaceDN/>
              <w:adjustRightInd/>
              <w:spacing w:after="0"/>
              <w:jc w:val="right"/>
              <w:rPr>
                <w:rFonts w:eastAsia="Times New Roman" w:cs="Arial"/>
                <w:lang w:eastAsia="en-GB"/>
              </w:rPr>
            </w:pPr>
            <w:r w:rsidRPr="003156DA">
              <w:rPr>
                <w:rFonts w:cs="Arial"/>
              </w:rPr>
              <w:t>-12.09%</w:t>
            </w:r>
          </w:p>
        </w:tc>
        <w:tc>
          <w:tcPr>
            <w:tcW w:w="1373" w:type="dxa"/>
            <w:tcBorders>
              <w:top w:val="nil"/>
              <w:left w:val="nil"/>
              <w:bottom w:val="single" w:sz="4" w:space="0" w:color="auto"/>
              <w:right w:val="single" w:sz="4" w:space="0" w:color="auto"/>
            </w:tcBorders>
            <w:shd w:val="clear" w:color="auto" w:fill="auto"/>
            <w:vAlign w:val="center"/>
          </w:tcPr>
          <w:p w:rsidR="00E2507D" w:rsidRPr="003156DA" w:rsidP="00E2507D">
            <w:pPr>
              <w:autoSpaceDE/>
              <w:autoSpaceDN/>
              <w:adjustRightInd/>
              <w:spacing w:after="0"/>
              <w:jc w:val="right"/>
              <w:rPr>
                <w:rFonts w:eastAsia="Times New Roman" w:cs="Arial"/>
                <w:lang w:eastAsia="en-GB"/>
              </w:rPr>
            </w:pPr>
            <w:r w:rsidRPr="003156DA">
              <w:rPr>
                <w:rFonts w:cs="Arial"/>
              </w:rPr>
              <w:t>-0.457</w:t>
            </w:r>
          </w:p>
        </w:tc>
      </w:tr>
      <w:tr w:rsidTr="00E2507D">
        <w:tblPrEx>
          <w:tblW w:w="9356" w:type="dxa"/>
          <w:tblInd w:w="-147" w:type="dxa"/>
          <w:tblLook w:val="04A0"/>
        </w:tblPrEx>
        <w:trPr>
          <w:trHeight w:val="506"/>
        </w:trPr>
        <w:tc>
          <w:tcPr>
            <w:tcW w:w="822" w:type="dxa"/>
            <w:tcBorders>
              <w:top w:val="nil"/>
              <w:left w:val="single" w:sz="4" w:space="0" w:color="auto"/>
              <w:bottom w:val="single" w:sz="4" w:space="0" w:color="auto"/>
              <w:right w:val="single" w:sz="4" w:space="0" w:color="auto"/>
            </w:tcBorders>
            <w:shd w:val="clear" w:color="000000" w:fill="FFFFFF"/>
            <w:vAlign w:val="center"/>
            <w:hideMark/>
          </w:tcPr>
          <w:p w:rsidR="00E2507D" w:rsidRPr="001301AB" w:rsidP="00E2507D">
            <w:pPr>
              <w:autoSpaceDE/>
              <w:autoSpaceDN/>
              <w:adjustRightInd/>
              <w:spacing w:after="0"/>
              <w:jc w:val="center"/>
              <w:rPr>
                <w:rFonts w:eastAsia="Times New Roman" w:cs="Arial"/>
                <w:b/>
                <w:bCs/>
                <w:lang w:eastAsia="en-GB"/>
              </w:rPr>
            </w:pPr>
            <w:r w:rsidRPr="001301AB">
              <w:rPr>
                <w:rFonts w:eastAsia="Times New Roman" w:cs="Arial"/>
                <w:b/>
                <w:bCs/>
                <w:lang w:eastAsia="en-GB"/>
              </w:rPr>
              <w:t>3.7.4</w:t>
            </w:r>
          </w:p>
        </w:tc>
        <w:tc>
          <w:tcPr>
            <w:tcW w:w="2514" w:type="dxa"/>
            <w:tcBorders>
              <w:top w:val="nil"/>
              <w:left w:val="nil"/>
              <w:bottom w:val="single" w:sz="4" w:space="0" w:color="auto"/>
              <w:right w:val="single" w:sz="4" w:space="0" w:color="auto"/>
            </w:tcBorders>
            <w:shd w:val="clear" w:color="000000" w:fill="FFFFFF"/>
            <w:vAlign w:val="center"/>
            <w:hideMark/>
          </w:tcPr>
          <w:p w:rsidR="00E2507D" w:rsidRPr="001301AB" w:rsidP="00E2507D">
            <w:pPr>
              <w:autoSpaceDE/>
              <w:autoSpaceDN/>
              <w:adjustRightInd/>
              <w:spacing w:after="0"/>
              <w:jc w:val="left"/>
              <w:rPr>
                <w:rFonts w:eastAsia="Times New Roman" w:cs="Arial"/>
                <w:lang w:eastAsia="en-GB"/>
              </w:rPr>
            </w:pPr>
            <w:r w:rsidRPr="001301AB">
              <w:rPr>
                <w:rFonts w:eastAsia="Times New Roman" w:cs="Arial"/>
                <w:lang w:eastAsia="en-GB"/>
              </w:rPr>
              <w:t>Financial Management (Development &amp; Schools)</w:t>
            </w:r>
          </w:p>
        </w:tc>
        <w:tc>
          <w:tcPr>
            <w:tcW w:w="1273" w:type="dxa"/>
            <w:tcBorders>
              <w:top w:val="nil"/>
              <w:left w:val="single" w:sz="4" w:space="0" w:color="auto"/>
              <w:bottom w:val="single" w:sz="4" w:space="0" w:color="auto"/>
              <w:right w:val="single" w:sz="4" w:space="0" w:color="auto"/>
            </w:tcBorders>
            <w:shd w:val="clear" w:color="auto" w:fill="auto"/>
            <w:vAlign w:val="center"/>
          </w:tcPr>
          <w:p w:rsidR="00E2507D" w:rsidRPr="001301AB" w:rsidP="00E2507D">
            <w:pPr>
              <w:autoSpaceDE/>
              <w:autoSpaceDN/>
              <w:adjustRightInd/>
              <w:spacing w:after="0"/>
              <w:jc w:val="right"/>
              <w:rPr>
                <w:rFonts w:eastAsia="Times New Roman" w:cs="Arial"/>
                <w:highlight w:val="yellow"/>
                <w:lang w:eastAsia="en-GB"/>
              </w:rPr>
            </w:pPr>
            <w:r w:rsidRPr="001301AB">
              <w:rPr>
                <w:rFonts w:eastAsia="Times New Roman" w:cs="Arial"/>
                <w:lang w:eastAsia="en-GB"/>
              </w:rPr>
              <w:t>-0.014</w:t>
            </w:r>
          </w:p>
        </w:tc>
        <w:tc>
          <w:tcPr>
            <w:tcW w:w="1023" w:type="dxa"/>
            <w:tcBorders>
              <w:top w:val="nil"/>
              <w:left w:val="nil"/>
              <w:bottom w:val="single" w:sz="4" w:space="0" w:color="auto"/>
              <w:right w:val="single" w:sz="4" w:space="0" w:color="auto"/>
            </w:tcBorders>
            <w:shd w:val="clear" w:color="auto" w:fill="auto"/>
            <w:vAlign w:val="center"/>
          </w:tcPr>
          <w:p w:rsidR="00E2507D" w:rsidRPr="003156DA" w:rsidP="00E2507D">
            <w:pPr>
              <w:autoSpaceDE/>
              <w:autoSpaceDN/>
              <w:adjustRightInd/>
              <w:spacing w:after="0"/>
              <w:jc w:val="right"/>
              <w:rPr>
                <w:rFonts w:eastAsia="Times New Roman" w:cs="Arial"/>
                <w:lang w:eastAsia="en-GB"/>
              </w:rPr>
            </w:pPr>
            <w:r w:rsidRPr="003156DA">
              <w:rPr>
                <w:rFonts w:cs="Arial"/>
              </w:rPr>
              <w:t>-0.012</w:t>
            </w:r>
          </w:p>
        </w:tc>
        <w:tc>
          <w:tcPr>
            <w:tcW w:w="1134" w:type="dxa"/>
            <w:tcBorders>
              <w:top w:val="nil"/>
              <w:left w:val="nil"/>
              <w:bottom w:val="single" w:sz="4" w:space="0" w:color="auto"/>
              <w:right w:val="single" w:sz="4" w:space="0" w:color="auto"/>
            </w:tcBorders>
            <w:shd w:val="clear" w:color="000000" w:fill="D9D9D9"/>
            <w:vAlign w:val="center"/>
          </w:tcPr>
          <w:p w:rsidR="00E2507D" w:rsidRPr="003156DA" w:rsidP="00E2507D">
            <w:pPr>
              <w:autoSpaceDE/>
              <w:autoSpaceDN/>
              <w:adjustRightInd/>
              <w:spacing w:after="0"/>
              <w:rPr>
                <w:rFonts w:eastAsia="Times New Roman" w:cs="Arial"/>
                <w:lang w:eastAsia="en-GB"/>
              </w:rPr>
            </w:pPr>
            <w:r w:rsidRPr="003156DA">
              <w:rPr>
                <w:rFonts w:cs="Arial"/>
              </w:rPr>
              <w:t xml:space="preserve">    0.002</w:t>
            </w:r>
          </w:p>
        </w:tc>
        <w:tc>
          <w:tcPr>
            <w:tcW w:w="1217" w:type="dxa"/>
            <w:tcBorders>
              <w:top w:val="nil"/>
              <w:left w:val="single" w:sz="4" w:space="0" w:color="auto"/>
              <w:bottom w:val="single" w:sz="4" w:space="0" w:color="auto"/>
              <w:right w:val="single" w:sz="4" w:space="0" w:color="auto"/>
            </w:tcBorders>
            <w:shd w:val="clear" w:color="auto" w:fill="auto"/>
            <w:vAlign w:val="center"/>
          </w:tcPr>
          <w:p w:rsidR="00E2507D" w:rsidRPr="003156DA" w:rsidP="00E2507D">
            <w:pPr>
              <w:autoSpaceDE/>
              <w:autoSpaceDN/>
              <w:adjustRightInd/>
              <w:spacing w:after="0"/>
              <w:jc w:val="right"/>
              <w:rPr>
                <w:rFonts w:eastAsia="Times New Roman" w:cs="Arial"/>
                <w:lang w:eastAsia="en-GB"/>
              </w:rPr>
            </w:pPr>
            <w:r w:rsidRPr="003156DA">
              <w:rPr>
                <w:rFonts w:cs="Arial"/>
              </w:rPr>
              <w:t>14.29%</w:t>
            </w:r>
          </w:p>
        </w:tc>
        <w:tc>
          <w:tcPr>
            <w:tcW w:w="1373" w:type="dxa"/>
            <w:tcBorders>
              <w:top w:val="nil"/>
              <w:left w:val="nil"/>
              <w:bottom w:val="single" w:sz="4" w:space="0" w:color="auto"/>
              <w:right w:val="single" w:sz="4" w:space="0" w:color="auto"/>
            </w:tcBorders>
            <w:shd w:val="clear" w:color="auto" w:fill="auto"/>
            <w:vAlign w:val="center"/>
          </w:tcPr>
          <w:p w:rsidR="00E2507D" w:rsidRPr="003156DA" w:rsidP="00E2507D">
            <w:pPr>
              <w:autoSpaceDE/>
              <w:autoSpaceDN/>
              <w:adjustRightInd/>
              <w:spacing w:after="0"/>
              <w:jc w:val="right"/>
              <w:rPr>
                <w:rFonts w:eastAsia="Times New Roman" w:cs="Arial"/>
                <w:lang w:eastAsia="en-GB"/>
              </w:rPr>
            </w:pPr>
            <w:r w:rsidRPr="003156DA">
              <w:rPr>
                <w:rFonts w:cs="Arial"/>
              </w:rPr>
              <w:t>0.082</w:t>
            </w:r>
          </w:p>
        </w:tc>
      </w:tr>
      <w:tr w:rsidTr="00E2507D">
        <w:tblPrEx>
          <w:tblW w:w="9356" w:type="dxa"/>
          <w:tblInd w:w="-147" w:type="dxa"/>
          <w:tblLook w:val="04A0"/>
        </w:tblPrEx>
        <w:trPr>
          <w:trHeight w:val="506"/>
        </w:trPr>
        <w:tc>
          <w:tcPr>
            <w:tcW w:w="822" w:type="dxa"/>
            <w:tcBorders>
              <w:top w:val="nil"/>
              <w:left w:val="single" w:sz="4" w:space="0" w:color="auto"/>
              <w:bottom w:val="single" w:sz="4" w:space="0" w:color="auto"/>
              <w:right w:val="single" w:sz="4" w:space="0" w:color="auto"/>
            </w:tcBorders>
            <w:shd w:val="clear" w:color="000000" w:fill="FFFFFF"/>
            <w:vAlign w:val="center"/>
            <w:hideMark/>
          </w:tcPr>
          <w:p w:rsidR="00E2507D" w:rsidRPr="001301AB" w:rsidP="00E2507D">
            <w:pPr>
              <w:autoSpaceDE/>
              <w:autoSpaceDN/>
              <w:adjustRightInd/>
              <w:spacing w:after="0"/>
              <w:jc w:val="center"/>
              <w:rPr>
                <w:rFonts w:eastAsia="Times New Roman" w:cs="Arial"/>
                <w:b/>
                <w:bCs/>
                <w:lang w:eastAsia="en-GB"/>
              </w:rPr>
            </w:pPr>
            <w:r w:rsidRPr="001301AB">
              <w:rPr>
                <w:rFonts w:eastAsia="Times New Roman" w:cs="Arial"/>
                <w:b/>
                <w:bCs/>
                <w:lang w:eastAsia="en-GB"/>
              </w:rPr>
              <w:t>3.7.5</w:t>
            </w:r>
          </w:p>
        </w:tc>
        <w:tc>
          <w:tcPr>
            <w:tcW w:w="2514" w:type="dxa"/>
            <w:tcBorders>
              <w:top w:val="nil"/>
              <w:left w:val="nil"/>
              <w:bottom w:val="single" w:sz="4" w:space="0" w:color="auto"/>
              <w:right w:val="single" w:sz="4" w:space="0" w:color="auto"/>
            </w:tcBorders>
            <w:shd w:val="clear" w:color="000000" w:fill="FFFFFF"/>
            <w:vAlign w:val="center"/>
            <w:hideMark/>
          </w:tcPr>
          <w:p w:rsidR="00E2507D" w:rsidRPr="001301AB" w:rsidP="00E2507D">
            <w:pPr>
              <w:autoSpaceDE/>
              <w:autoSpaceDN/>
              <w:adjustRightInd/>
              <w:spacing w:after="0"/>
              <w:jc w:val="left"/>
              <w:rPr>
                <w:rFonts w:eastAsia="Times New Roman" w:cs="Arial"/>
                <w:lang w:eastAsia="en-GB"/>
              </w:rPr>
            </w:pPr>
            <w:r w:rsidRPr="001301AB">
              <w:rPr>
                <w:rFonts w:eastAsia="Times New Roman" w:cs="Arial"/>
                <w:lang w:eastAsia="en-GB"/>
              </w:rPr>
              <w:t>Financial Management  (Operational)</w:t>
            </w:r>
          </w:p>
        </w:tc>
        <w:tc>
          <w:tcPr>
            <w:tcW w:w="1273" w:type="dxa"/>
            <w:tcBorders>
              <w:top w:val="nil"/>
              <w:left w:val="single" w:sz="4" w:space="0" w:color="auto"/>
              <w:bottom w:val="single" w:sz="4" w:space="0" w:color="auto"/>
              <w:right w:val="single" w:sz="4" w:space="0" w:color="auto"/>
            </w:tcBorders>
            <w:shd w:val="clear" w:color="auto" w:fill="auto"/>
            <w:vAlign w:val="center"/>
          </w:tcPr>
          <w:p w:rsidR="00E2507D" w:rsidRPr="001301AB" w:rsidP="00E2507D">
            <w:pPr>
              <w:autoSpaceDE/>
              <w:autoSpaceDN/>
              <w:adjustRightInd/>
              <w:spacing w:after="0"/>
              <w:jc w:val="right"/>
              <w:rPr>
                <w:rFonts w:eastAsia="Times New Roman" w:cs="Arial"/>
                <w:highlight w:val="yellow"/>
                <w:lang w:eastAsia="en-GB"/>
              </w:rPr>
            </w:pPr>
            <w:r w:rsidRPr="001301AB">
              <w:rPr>
                <w:rFonts w:eastAsia="Times New Roman" w:cs="Arial"/>
                <w:lang w:eastAsia="en-GB"/>
              </w:rPr>
              <w:t>1.669</w:t>
            </w:r>
          </w:p>
        </w:tc>
        <w:tc>
          <w:tcPr>
            <w:tcW w:w="1023" w:type="dxa"/>
            <w:tcBorders>
              <w:top w:val="nil"/>
              <w:left w:val="nil"/>
              <w:bottom w:val="single" w:sz="4" w:space="0" w:color="auto"/>
              <w:right w:val="single" w:sz="4" w:space="0" w:color="auto"/>
            </w:tcBorders>
            <w:shd w:val="clear" w:color="auto" w:fill="auto"/>
            <w:vAlign w:val="center"/>
          </w:tcPr>
          <w:p w:rsidR="00E2507D" w:rsidRPr="003156DA" w:rsidP="00E2507D">
            <w:pPr>
              <w:autoSpaceDE/>
              <w:autoSpaceDN/>
              <w:adjustRightInd/>
              <w:spacing w:after="0"/>
              <w:jc w:val="right"/>
              <w:rPr>
                <w:rFonts w:eastAsia="Times New Roman" w:cs="Arial"/>
                <w:lang w:eastAsia="en-GB"/>
              </w:rPr>
            </w:pPr>
            <w:r w:rsidRPr="003156DA">
              <w:rPr>
                <w:rFonts w:cs="Arial"/>
              </w:rPr>
              <w:t>1.660</w:t>
            </w:r>
          </w:p>
        </w:tc>
        <w:tc>
          <w:tcPr>
            <w:tcW w:w="1134" w:type="dxa"/>
            <w:tcBorders>
              <w:top w:val="nil"/>
              <w:left w:val="nil"/>
              <w:bottom w:val="single" w:sz="4" w:space="0" w:color="auto"/>
              <w:right w:val="single" w:sz="4" w:space="0" w:color="auto"/>
            </w:tcBorders>
            <w:shd w:val="clear" w:color="000000" w:fill="D9D9D9"/>
            <w:vAlign w:val="center"/>
          </w:tcPr>
          <w:p w:rsidR="00E2507D" w:rsidRPr="003156DA" w:rsidP="00E2507D">
            <w:pPr>
              <w:autoSpaceDE/>
              <w:autoSpaceDN/>
              <w:adjustRightInd/>
              <w:spacing w:after="0"/>
              <w:jc w:val="right"/>
              <w:rPr>
                <w:rFonts w:eastAsia="Times New Roman" w:cs="Arial"/>
                <w:lang w:eastAsia="en-GB"/>
              </w:rPr>
            </w:pPr>
            <w:r w:rsidRPr="003156DA">
              <w:rPr>
                <w:rFonts w:cs="Arial"/>
              </w:rPr>
              <w:t>-0.009</w:t>
            </w:r>
          </w:p>
        </w:tc>
        <w:tc>
          <w:tcPr>
            <w:tcW w:w="1217" w:type="dxa"/>
            <w:tcBorders>
              <w:top w:val="nil"/>
              <w:left w:val="single" w:sz="4" w:space="0" w:color="auto"/>
              <w:bottom w:val="single" w:sz="4" w:space="0" w:color="auto"/>
              <w:right w:val="single" w:sz="4" w:space="0" w:color="auto"/>
            </w:tcBorders>
            <w:shd w:val="clear" w:color="auto" w:fill="auto"/>
            <w:vAlign w:val="center"/>
          </w:tcPr>
          <w:p w:rsidR="00E2507D" w:rsidRPr="003156DA" w:rsidP="00E2507D">
            <w:pPr>
              <w:autoSpaceDE/>
              <w:autoSpaceDN/>
              <w:adjustRightInd/>
              <w:spacing w:after="0"/>
              <w:jc w:val="right"/>
              <w:rPr>
                <w:rFonts w:eastAsia="Times New Roman" w:cs="Arial"/>
                <w:lang w:eastAsia="en-GB"/>
              </w:rPr>
            </w:pPr>
            <w:r w:rsidRPr="003156DA">
              <w:rPr>
                <w:rFonts w:cs="Arial"/>
              </w:rPr>
              <w:t>-0.54%</w:t>
            </w:r>
          </w:p>
        </w:tc>
        <w:tc>
          <w:tcPr>
            <w:tcW w:w="1373" w:type="dxa"/>
            <w:tcBorders>
              <w:top w:val="nil"/>
              <w:left w:val="nil"/>
              <w:bottom w:val="single" w:sz="4" w:space="0" w:color="auto"/>
              <w:right w:val="single" w:sz="4" w:space="0" w:color="auto"/>
            </w:tcBorders>
            <w:shd w:val="clear" w:color="auto" w:fill="auto"/>
            <w:vAlign w:val="center"/>
          </w:tcPr>
          <w:p w:rsidR="00E2507D" w:rsidRPr="003156DA" w:rsidP="00E2507D">
            <w:pPr>
              <w:autoSpaceDE/>
              <w:autoSpaceDN/>
              <w:adjustRightInd/>
              <w:spacing w:after="0"/>
              <w:jc w:val="right"/>
              <w:rPr>
                <w:rFonts w:eastAsia="Times New Roman" w:cs="Arial"/>
                <w:lang w:eastAsia="en-GB"/>
              </w:rPr>
            </w:pPr>
            <w:r w:rsidRPr="003156DA">
              <w:rPr>
                <w:rFonts w:cs="Arial"/>
              </w:rPr>
              <w:t>-0.039</w:t>
            </w:r>
          </w:p>
        </w:tc>
      </w:tr>
      <w:tr w:rsidTr="00E2507D">
        <w:tblPrEx>
          <w:tblW w:w="9356" w:type="dxa"/>
          <w:tblInd w:w="-147" w:type="dxa"/>
          <w:tblLook w:val="04A0"/>
        </w:tblPrEx>
        <w:trPr>
          <w:trHeight w:val="506"/>
        </w:trPr>
        <w:tc>
          <w:tcPr>
            <w:tcW w:w="822" w:type="dxa"/>
            <w:tcBorders>
              <w:top w:val="nil"/>
              <w:left w:val="single" w:sz="4" w:space="0" w:color="auto"/>
              <w:bottom w:val="single" w:sz="4" w:space="0" w:color="auto"/>
              <w:right w:val="single" w:sz="4" w:space="0" w:color="auto"/>
            </w:tcBorders>
            <w:shd w:val="clear" w:color="000000" w:fill="FFFFFF"/>
            <w:vAlign w:val="center"/>
            <w:hideMark/>
          </w:tcPr>
          <w:p w:rsidR="00E2507D" w:rsidRPr="001301AB" w:rsidP="00E2507D">
            <w:pPr>
              <w:autoSpaceDE/>
              <w:autoSpaceDN/>
              <w:adjustRightInd/>
              <w:spacing w:after="0"/>
              <w:jc w:val="center"/>
              <w:rPr>
                <w:rFonts w:eastAsia="Times New Roman" w:cs="Arial"/>
                <w:b/>
                <w:bCs/>
                <w:lang w:eastAsia="en-GB"/>
              </w:rPr>
            </w:pPr>
            <w:r w:rsidRPr="001301AB">
              <w:rPr>
                <w:rFonts w:eastAsia="Times New Roman" w:cs="Arial"/>
                <w:b/>
                <w:bCs/>
                <w:lang w:eastAsia="en-GB"/>
              </w:rPr>
              <w:t>3.7.6</w:t>
            </w:r>
          </w:p>
        </w:tc>
        <w:tc>
          <w:tcPr>
            <w:tcW w:w="2514" w:type="dxa"/>
            <w:tcBorders>
              <w:top w:val="nil"/>
              <w:left w:val="nil"/>
              <w:bottom w:val="single" w:sz="4" w:space="0" w:color="auto"/>
              <w:right w:val="single" w:sz="4" w:space="0" w:color="auto"/>
            </w:tcBorders>
            <w:shd w:val="clear" w:color="000000" w:fill="FFFFFF"/>
            <w:vAlign w:val="center"/>
          </w:tcPr>
          <w:p w:rsidR="00E2507D" w:rsidRPr="001301AB" w:rsidP="00E2507D">
            <w:pPr>
              <w:autoSpaceDE/>
              <w:autoSpaceDN/>
              <w:adjustRightInd/>
              <w:spacing w:after="0"/>
              <w:jc w:val="left"/>
              <w:rPr>
                <w:rFonts w:eastAsia="Times New Roman" w:cs="Arial"/>
                <w:lang w:eastAsia="en-GB"/>
              </w:rPr>
            </w:pPr>
            <w:r w:rsidRPr="001301AB">
              <w:rPr>
                <w:rFonts w:eastAsia="Times New Roman" w:cs="Arial"/>
                <w:lang w:eastAsia="en-GB"/>
              </w:rPr>
              <w:t>Corporate Finance</w:t>
            </w:r>
          </w:p>
        </w:tc>
        <w:tc>
          <w:tcPr>
            <w:tcW w:w="1273" w:type="dxa"/>
            <w:tcBorders>
              <w:top w:val="nil"/>
              <w:left w:val="single" w:sz="4" w:space="0" w:color="auto"/>
              <w:bottom w:val="single" w:sz="4" w:space="0" w:color="auto"/>
              <w:right w:val="single" w:sz="4" w:space="0" w:color="auto"/>
            </w:tcBorders>
            <w:shd w:val="clear" w:color="auto" w:fill="auto"/>
            <w:vAlign w:val="center"/>
          </w:tcPr>
          <w:p w:rsidR="00E2507D" w:rsidRPr="001301AB" w:rsidP="00E2507D">
            <w:pPr>
              <w:autoSpaceDE/>
              <w:autoSpaceDN/>
              <w:adjustRightInd/>
              <w:spacing w:after="0"/>
              <w:jc w:val="right"/>
              <w:rPr>
                <w:rFonts w:eastAsia="Times New Roman" w:cs="Arial"/>
                <w:highlight w:val="yellow"/>
                <w:lang w:eastAsia="en-GB"/>
              </w:rPr>
            </w:pPr>
            <w:r w:rsidRPr="001301AB">
              <w:rPr>
                <w:rFonts w:eastAsia="Times New Roman" w:cs="Arial"/>
                <w:lang w:eastAsia="en-GB"/>
              </w:rPr>
              <w:t>7.636</w:t>
            </w:r>
          </w:p>
        </w:tc>
        <w:tc>
          <w:tcPr>
            <w:tcW w:w="1023" w:type="dxa"/>
            <w:tcBorders>
              <w:top w:val="nil"/>
              <w:left w:val="nil"/>
              <w:bottom w:val="single" w:sz="4" w:space="0" w:color="auto"/>
              <w:right w:val="single" w:sz="4" w:space="0" w:color="auto"/>
            </w:tcBorders>
            <w:shd w:val="clear" w:color="auto" w:fill="auto"/>
            <w:vAlign w:val="center"/>
          </w:tcPr>
          <w:p w:rsidR="00E2507D" w:rsidRPr="003156DA" w:rsidP="00E2507D">
            <w:pPr>
              <w:autoSpaceDE/>
              <w:autoSpaceDN/>
              <w:adjustRightInd/>
              <w:spacing w:after="0"/>
              <w:jc w:val="right"/>
              <w:rPr>
                <w:rFonts w:eastAsia="Times New Roman" w:cs="Arial"/>
                <w:lang w:eastAsia="en-GB"/>
              </w:rPr>
            </w:pPr>
            <w:r w:rsidRPr="003156DA">
              <w:rPr>
                <w:rFonts w:cs="Arial"/>
              </w:rPr>
              <w:t>7.570</w:t>
            </w:r>
          </w:p>
        </w:tc>
        <w:tc>
          <w:tcPr>
            <w:tcW w:w="1134" w:type="dxa"/>
            <w:tcBorders>
              <w:top w:val="nil"/>
              <w:left w:val="nil"/>
              <w:bottom w:val="single" w:sz="4" w:space="0" w:color="auto"/>
              <w:right w:val="single" w:sz="4" w:space="0" w:color="auto"/>
            </w:tcBorders>
            <w:shd w:val="clear" w:color="000000" w:fill="D9D9D9"/>
            <w:vAlign w:val="center"/>
          </w:tcPr>
          <w:p w:rsidR="00E2507D" w:rsidRPr="003156DA" w:rsidP="00E2507D">
            <w:pPr>
              <w:autoSpaceDE/>
              <w:autoSpaceDN/>
              <w:adjustRightInd/>
              <w:spacing w:after="0"/>
              <w:jc w:val="right"/>
              <w:rPr>
                <w:rFonts w:eastAsia="Times New Roman" w:cs="Arial"/>
                <w:lang w:eastAsia="en-GB"/>
              </w:rPr>
            </w:pPr>
            <w:r w:rsidRPr="003156DA">
              <w:rPr>
                <w:rFonts w:cs="Arial"/>
              </w:rPr>
              <w:t>-0.066</w:t>
            </w:r>
          </w:p>
        </w:tc>
        <w:tc>
          <w:tcPr>
            <w:tcW w:w="1217" w:type="dxa"/>
            <w:tcBorders>
              <w:top w:val="nil"/>
              <w:left w:val="single" w:sz="4" w:space="0" w:color="auto"/>
              <w:bottom w:val="single" w:sz="4" w:space="0" w:color="auto"/>
              <w:right w:val="single" w:sz="4" w:space="0" w:color="auto"/>
            </w:tcBorders>
            <w:shd w:val="clear" w:color="auto" w:fill="auto"/>
            <w:vAlign w:val="center"/>
          </w:tcPr>
          <w:p w:rsidR="00E2507D" w:rsidRPr="003156DA" w:rsidP="00E2507D">
            <w:pPr>
              <w:autoSpaceDE/>
              <w:autoSpaceDN/>
              <w:adjustRightInd/>
              <w:spacing w:after="0"/>
              <w:jc w:val="right"/>
              <w:rPr>
                <w:rFonts w:eastAsia="Times New Roman" w:cs="Arial"/>
                <w:lang w:eastAsia="en-GB"/>
              </w:rPr>
            </w:pPr>
            <w:r w:rsidRPr="003156DA">
              <w:rPr>
                <w:rFonts w:cs="Arial"/>
              </w:rPr>
              <w:t>-0.86%</w:t>
            </w:r>
          </w:p>
        </w:tc>
        <w:tc>
          <w:tcPr>
            <w:tcW w:w="1373" w:type="dxa"/>
            <w:tcBorders>
              <w:top w:val="nil"/>
              <w:left w:val="nil"/>
              <w:bottom w:val="single" w:sz="4" w:space="0" w:color="auto"/>
              <w:right w:val="single" w:sz="4" w:space="0" w:color="auto"/>
            </w:tcBorders>
            <w:shd w:val="clear" w:color="auto" w:fill="auto"/>
            <w:vAlign w:val="center"/>
          </w:tcPr>
          <w:p w:rsidR="00E2507D" w:rsidRPr="003156DA" w:rsidP="00E2507D">
            <w:pPr>
              <w:autoSpaceDE/>
              <w:autoSpaceDN/>
              <w:adjustRightInd/>
              <w:spacing w:after="0"/>
              <w:jc w:val="right"/>
              <w:rPr>
                <w:rFonts w:eastAsia="Times New Roman" w:cs="Arial"/>
                <w:lang w:eastAsia="en-GB"/>
              </w:rPr>
            </w:pPr>
            <w:r w:rsidRPr="003156DA">
              <w:rPr>
                <w:rFonts w:cs="Arial"/>
              </w:rPr>
              <w:t>-0.066</w:t>
            </w:r>
          </w:p>
        </w:tc>
      </w:tr>
      <w:tr w:rsidTr="00E2507D">
        <w:tblPrEx>
          <w:tblW w:w="9356" w:type="dxa"/>
          <w:tblInd w:w="-147" w:type="dxa"/>
          <w:tblLook w:val="04A0"/>
        </w:tblPrEx>
        <w:trPr>
          <w:trHeight w:val="506"/>
        </w:trPr>
        <w:tc>
          <w:tcPr>
            <w:tcW w:w="822" w:type="dxa"/>
            <w:tcBorders>
              <w:top w:val="nil"/>
              <w:left w:val="single" w:sz="4" w:space="0" w:color="auto"/>
              <w:bottom w:val="single" w:sz="4" w:space="0" w:color="auto"/>
              <w:right w:val="single" w:sz="4" w:space="0" w:color="auto"/>
            </w:tcBorders>
            <w:shd w:val="clear" w:color="000000" w:fill="FFFFFF"/>
            <w:vAlign w:val="center"/>
            <w:hideMark/>
          </w:tcPr>
          <w:p w:rsidR="00E2507D" w:rsidRPr="001301AB" w:rsidP="00E2507D">
            <w:pPr>
              <w:autoSpaceDE/>
              <w:autoSpaceDN/>
              <w:adjustRightInd/>
              <w:spacing w:after="0"/>
              <w:jc w:val="center"/>
              <w:rPr>
                <w:rFonts w:eastAsia="Times New Roman" w:cs="Arial"/>
                <w:b/>
                <w:bCs/>
                <w:lang w:eastAsia="en-GB"/>
              </w:rPr>
            </w:pPr>
            <w:r w:rsidRPr="001301AB">
              <w:rPr>
                <w:rFonts w:eastAsia="Times New Roman" w:cs="Arial"/>
                <w:b/>
                <w:bCs/>
                <w:lang w:eastAsia="en-GB"/>
              </w:rPr>
              <w:t>3.7.7</w:t>
            </w:r>
          </w:p>
        </w:tc>
        <w:tc>
          <w:tcPr>
            <w:tcW w:w="2514" w:type="dxa"/>
            <w:tcBorders>
              <w:top w:val="nil"/>
              <w:left w:val="nil"/>
              <w:bottom w:val="single" w:sz="4" w:space="0" w:color="auto"/>
              <w:right w:val="single" w:sz="4" w:space="0" w:color="auto"/>
            </w:tcBorders>
            <w:shd w:val="clear" w:color="000000" w:fill="FFFFFF"/>
            <w:vAlign w:val="center"/>
          </w:tcPr>
          <w:p w:rsidR="00E2507D" w:rsidRPr="001301AB" w:rsidP="00E2507D">
            <w:pPr>
              <w:autoSpaceDE/>
              <w:autoSpaceDN/>
              <w:adjustRightInd/>
              <w:spacing w:after="0"/>
              <w:jc w:val="left"/>
              <w:rPr>
                <w:rFonts w:eastAsia="Times New Roman" w:cs="Arial"/>
                <w:lang w:eastAsia="en-GB"/>
              </w:rPr>
            </w:pPr>
            <w:r w:rsidRPr="001301AB">
              <w:rPr>
                <w:rFonts w:eastAsia="Times New Roman" w:cs="Arial"/>
                <w:lang w:eastAsia="en-GB"/>
              </w:rPr>
              <w:t>Internal Audit</w:t>
            </w:r>
          </w:p>
        </w:tc>
        <w:tc>
          <w:tcPr>
            <w:tcW w:w="1273" w:type="dxa"/>
            <w:tcBorders>
              <w:top w:val="nil"/>
              <w:left w:val="single" w:sz="4" w:space="0" w:color="auto"/>
              <w:bottom w:val="single" w:sz="4" w:space="0" w:color="auto"/>
              <w:right w:val="single" w:sz="4" w:space="0" w:color="auto"/>
            </w:tcBorders>
            <w:shd w:val="clear" w:color="auto" w:fill="auto"/>
            <w:vAlign w:val="center"/>
          </w:tcPr>
          <w:p w:rsidR="00E2507D" w:rsidRPr="001301AB" w:rsidP="00E2507D">
            <w:pPr>
              <w:autoSpaceDE/>
              <w:autoSpaceDN/>
              <w:adjustRightInd/>
              <w:spacing w:after="0"/>
              <w:jc w:val="right"/>
              <w:rPr>
                <w:rFonts w:eastAsia="Times New Roman" w:cs="Arial"/>
                <w:highlight w:val="yellow"/>
                <w:lang w:eastAsia="en-GB"/>
              </w:rPr>
            </w:pPr>
            <w:r w:rsidRPr="001301AB">
              <w:rPr>
                <w:rFonts w:eastAsia="Times New Roman" w:cs="Arial"/>
                <w:lang w:eastAsia="en-GB"/>
              </w:rPr>
              <w:t>0.719</w:t>
            </w:r>
          </w:p>
        </w:tc>
        <w:tc>
          <w:tcPr>
            <w:tcW w:w="1023" w:type="dxa"/>
            <w:tcBorders>
              <w:top w:val="nil"/>
              <w:left w:val="nil"/>
              <w:bottom w:val="single" w:sz="4" w:space="0" w:color="auto"/>
              <w:right w:val="single" w:sz="4" w:space="0" w:color="auto"/>
            </w:tcBorders>
            <w:shd w:val="clear" w:color="auto" w:fill="auto"/>
            <w:vAlign w:val="center"/>
          </w:tcPr>
          <w:p w:rsidR="00E2507D" w:rsidRPr="003156DA" w:rsidP="00E2507D">
            <w:pPr>
              <w:autoSpaceDE/>
              <w:autoSpaceDN/>
              <w:adjustRightInd/>
              <w:spacing w:after="0"/>
              <w:jc w:val="right"/>
              <w:rPr>
                <w:rFonts w:eastAsia="Times New Roman" w:cs="Arial"/>
                <w:lang w:eastAsia="en-GB"/>
              </w:rPr>
            </w:pPr>
            <w:r w:rsidRPr="003156DA">
              <w:rPr>
                <w:rFonts w:cs="Arial"/>
              </w:rPr>
              <w:t>0.768</w:t>
            </w:r>
          </w:p>
        </w:tc>
        <w:tc>
          <w:tcPr>
            <w:tcW w:w="1134" w:type="dxa"/>
            <w:tcBorders>
              <w:top w:val="nil"/>
              <w:left w:val="nil"/>
              <w:bottom w:val="single" w:sz="4" w:space="0" w:color="auto"/>
              <w:right w:val="single" w:sz="4" w:space="0" w:color="auto"/>
            </w:tcBorders>
            <w:shd w:val="clear" w:color="000000" w:fill="D9D9D9"/>
            <w:vAlign w:val="center"/>
          </w:tcPr>
          <w:p w:rsidR="00E2507D" w:rsidRPr="003156DA" w:rsidP="00E2507D">
            <w:pPr>
              <w:autoSpaceDE/>
              <w:autoSpaceDN/>
              <w:adjustRightInd/>
              <w:spacing w:after="0"/>
              <w:jc w:val="right"/>
              <w:rPr>
                <w:rFonts w:eastAsia="Times New Roman" w:cs="Arial"/>
                <w:lang w:eastAsia="en-GB"/>
              </w:rPr>
            </w:pPr>
            <w:r w:rsidRPr="003156DA">
              <w:rPr>
                <w:rFonts w:cs="Arial"/>
              </w:rPr>
              <w:t>0.049</w:t>
            </w:r>
          </w:p>
        </w:tc>
        <w:tc>
          <w:tcPr>
            <w:tcW w:w="1217" w:type="dxa"/>
            <w:tcBorders>
              <w:top w:val="nil"/>
              <w:left w:val="single" w:sz="4" w:space="0" w:color="auto"/>
              <w:bottom w:val="single" w:sz="4" w:space="0" w:color="auto"/>
              <w:right w:val="single" w:sz="4" w:space="0" w:color="auto"/>
            </w:tcBorders>
            <w:shd w:val="clear" w:color="auto" w:fill="auto"/>
            <w:vAlign w:val="center"/>
          </w:tcPr>
          <w:p w:rsidR="00E2507D" w:rsidRPr="003156DA" w:rsidP="00E2507D">
            <w:pPr>
              <w:autoSpaceDE/>
              <w:autoSpaceDN/>
              <w:adjustRightInd/>
              <w:spacing w:after="0"/>
              <w:jc w:val="right"/>
              <w:rPr>
                <w:rFonts w:eastAsia="Times New Roman" w:cs="Arial"/>
                <w:lang w:eastAsia="en-GB"/>
              </w:rPr>
            </w:pPr>
            <w:r w:rsidRPr="003156DA">
              <w:rPr>
                <w:rFonts w:cs="Arial"/>
              </w:rPr>
              <w:t>6.82%</w:t>
            </w:r>
          </w:p>
        </w:tc>
        <w:tc>
          <w:tcPr>
            <w:tcW w:w="1373" w:type="dxa"/>
            <w:tcBorders>
              <w:top w:val="nil"/>
              <w:left w:val="nil"/>
              <w:bottom w:val="single" w:sz="4" w:space="0" w:color="auto"/>
              <w:right w:val="single" w:sz="4" w:space="0" w:color="auto"/>
            </w:tcBorders>
            <w:shd w:val="clear" w:color="auto" w:fill="auto"/>
            <w:vAlign w:val="center"/>
          </w:tcPr>
          <w:p w:rsidR="00E2507D" w:rsidRPr="003156DA" w:rsidP="00E2507D">
            <w:pPr>
              <w:autoSpaceDE/>
              <w:autoSpaceDN/>
              <w:adjustRightInd/>
              <w:spacing w:after="0"/>
              <w:jc w:val="right"/>
              <w:rPr>
                <w:rFonts w:eastAsia="Times New Roman" w:cs="Arial"/>
                <w:lang w:eastAsia="en-GB"/>
              </w:rPr>
            </w:pPr>
            <w:r w:rsidRPr="003156DA">
              <w:rPr>
                <w:rFonts w:cs="Arial"/>
              </w:rPr>
              <w:t>0.023</w:t>
            </w:r>
          </w:p>
        </w:tc>
      </w:tr>
      <w:tr w:rsidTr="00E2507D">
        <w:tblPrEx>
          <w:tblW w:w="9356" w:type="dxa"/>
          <w:tblInd w:w="-147" w:type="dxa"/>
          <w:tblLook w:val="04A0"/>
        </w:tblPrEx>
        <w:trPr>
          <w:trHeight w:val="506"/>
        </w:trPr>
        <w:tc>
          <w:tcPr>
            <w:tcW w:w="822" w:type="dxa"/>
            <w:tcBorders>
              <w:top w:val="nil"/>
              <w:left w:val="single" w:sz="4" w:space="0" w:color="auto"/>
              <w:bottom w:val="single" w:sz="4" w:space="0" w:color="auto"/>
              <w:right w:val="single" w:sz="4" w:space="0" w:color="auto"/>
            </w:tcBorders>
            <w:shd w:val="clear" w:color="000000" w:fill="FFFFFF"/>
            <w:vAlign w:val="center"/>
            <w:hideMark/>
          </w:tcPr>
          <w:p w:rsidR="00E2507D" w:rsidRPr="001301AB" w:rsidP="00E2507D">
            <w:pPr>
              <w:autoSpaceDE/>
              <w:autoSpaceDN/>
              <w:adjustRightInd/>
              <w:spacing w:after="0"/>
              <w:jc w:val="center"/>
              <w:rPr>
                <w:rFonts w:eastAsia="Times New Roman" w:cs="Arial"/>
                <w:b/>
                <w:bCs/>
                <w:lang w:eastAsia="en-GB"/>
              </w:rPr>
            </w:pPr>
            <w:r w:rsidRPr="001301AB">
              <w:rPr>
                <w:rFonts w:eastAsia="Times New Roman" w:cs="Arial"/>
                <w:b/>
                <w:bCs/>
                <w:lang w:eastAsia="en-GB"/>
              </w:rPr>
              <w:t>3.7.8</w:t>
            </w:r>
          </w:p>
        </w:tc>
        <w:tc>
          <w:tcPr>
            <w:tcW w:w="2514" w:type="dxa"/>
            <w:tcBorders>
              <w:top w:val="nil"/>
              <w:left w:val="nil"/>
              <w:bottom w:val="single" w:sz="4" w:space="0" w:color="auto"/>
              <w:right w:val="single" w:sz="4" w:space="0" w:color="auto"/>
            </w:tcBorders>
            <w:shd w:val="clear" w:color="000000" w:fill="FFFFFF"/>
            <w:vAlign w:val="center"/>
          </w:tcPr>
          <w:p w:rsidR="00E2507D" w:rsidRPr="001301AB" w:rsidP="00E2507D">
            <w:pPr>
              <w:autoSpaceDE/>
              <w:autoSpaceDN/>
              <w:adjustRightInd/>
              <w:spacing w:after="0"/>
              <w:jc w:val="left"/>
              <w:rPr>
                <w:rFonts w:eastAsia="Times New Roman" w:cs="Arial"/>
                <w:lang w:eastAsia="en-GB"/>
              </w:rPr>
            </w:pPr>
            <w:r w:rsidRPr="001301AB">
              <w:rPr>
                <w:rFonts w:eastAsia="Times New Roman" w:cs="Arial"/>
                <w:lang w:eastAsia="en-GB"/>
              </w:rPr>
              <w:t>Procurement</w:t>
            </w:r>
          </w:p>
        </w:tc>
        <w:tc>
          <w:tcPr>
            <w:tcW w:w="1273" w:type="dxa"/>
            <w:tcBorders>
              <w:top w:val="nil"/>
              <w:left w:val="single" w:sz="4" w:space="0" w:color="auto"/>
              <w:bottom w:val="single" w:sz="4" w:space="0" w:color="auto"/>
              <w:right w:val="single" w:sz="4" w:space="0" w:color="auto"/>
            </w:tcBorders>
            <w:shd w:val="clear" w:color="auto" w:fill="auto"/>
            <w:vAlign w:val="center"/>
          </w:tcPr>
          <w:p w:rsidR="00E2507D" w:rsidRPr="001301AB" w:rsidP="00E2507D">
            <w:pPr>
              <w:autoSpaceDE/>
              <w:autoSpaceDN/>
              <w:adjustRightInd/>
              <w:spacing w:after="0"/>
              <w:jc w:val="right"/>
              <w:rPr>
                <w:rFonts w:eastAsia="Times New Roman" w:cs="Arial"/>
                <w:highlight w:val="yellow"/>
                <w:lang w:eastAsia="en-GB"/>
              </w:rPr>
            </w:pPr>
            <w:r w:rsidRPr="001301AB">
              <w:rPr>
                <w:rFonts w:eastAsia="Times New Roman" w:cs="Arial"/>
                <w:lang w:eastAsia="en-GB"/>
              </w:rPr>
              <w:t>1.814</w:t>
            </w:r>
          </w:p>
        </w:tc>
        <w:tc>
          <w:tcPr>
            <w:tcW w:w="1023" w:type="dxa"/>
            <w:tcBorders>
              <w:top w:val="nil"/>
              <w:left w:val="nil"/>
              <w:bottom w:val="single" w:sz="4" w:space="0" w:color="auto"/>
              <w:right w:val="single" w:sz="4" w:space="0" w:color="auto"/>
            </w:tcBorders>
            <w:shd w:val="clear" w:color="auto" w:fill="auto"/>
            <w:vAlign w:val="center"/>
          </w:tcPr>
          <w:p w:rsidR="00E2507D" w:rsidRPr="003156DA" w:rsidP="00E2507D">
            <w:pPr>
              <w:autoSpaceDE/>
              <w:autoSpaceDN/>
              <w:adjustRightInd/>
              <w:spacing w:after="0"/>
              <w:jc w:val="right"/>
              <w:rPr>
                <w:rFonts w:eastAsia="Times New Roman" w:cs="Arial"/>
                <w:lang w:eastAsia="en-GB"/>
              </w:rPr>
            </w:pPr>
            <w:r w:rsidRPr="003156DA">
              <w:rPr>
                <w:rFonts w:cs="Arial"/>
              </w:rPr>
              <w:t>1.732</w:t>
            </w:r>
          </w:p>
        </w:tc>
        <w:tc>
          <w:tcPr>
            <w:tcW w:w="1134" w:type="dxa"/>
            <w:tcBorders>
              <w:top w:val="nil"/>
              <w:left w:val="nil"/>
              <w:bottom w:val="single" w:sz="4" w:space="0" w:color="auto"/>
              <w:right w:val="single" w:sz="4" w:space="0" w:color="auto"/>
            </w:tcBorders>
            <w:shd w:val="clear" w:color="000000" w:fill="D9D9D9"/>
            <w:vAlign w:val="center"/>
          </w:tcPr>
          <w:p w:rsidR="00E2507D" w:rsidRPr="003156DA" w:rsidP="00E2507D">
            <w:pPr>
              <w:autoSpaceDE/>
              <w:autoSpaceDN/>
              <w:adjustRightInd/>
              <w:spacing w:after="0"/>
              <w:jc w:val="right"/>
              <w:rPr>
                <w:rFonts w:eastAsia="Times New Roman" w:cs="Arial"/>
                <w:lang w:eastAsia="en-GB"/>
              </w:rPr>
            </w:pPr>
            <w:r w:rsidRPr="003156DA">
              <w:rPr>
                <w:rFonts w:cs="Arial"/>
              </w:rPr>
              <w:t>-0.082</w:t>
            </w:r>
          </w:p>
        </w:tc>
        <w:tc>
          <w:tcPr>
            <w:tcW w:w="1217" w:type="dxa"/>
            <w:tcBorders>
              <w:top w:val="nil"/>
              <w:left w:val="single" w:sz="4" w:space="0" w:color="auto"/>
              <w:bottom w:val="single" w:sz="4" w:space="0" w:color="auto"/>
              <w:right w:val="single" w:sz="4" w:space="0" w:color="auto"/>
            </w:tcBorders>
            <w:shd w:val="clear" w:color="auto" w:fill="auto"/>
            <w:vAlign w:val="center"/>
          </w:tcPr>
          <w:p w:rsidR="00E2507D" w:rsidRPr="003156DA" w:rsidP="00E2507D">
            <w:pPr>
              <w:autoSpaceDE/>
              <w:autoSpaceDN/>
              <w:adjustRightInd/>
              <w:spacing w:after="0"/>
              <w:jc w:val="right"/>
              <w:rPr>
                <w:rFonts w:eastAsia="Times New Roman" w:cs="Arial"/>
                <w:lang w:eastAsia="en-GB"/>
              </w:rPr>
            </w:pPr>
            <w:r w:rsidRPr="003156DA">
              <w:rPr>
                <w:rFonts w:cs="Arial"/>
              </w:rPr>
              <w:t>-4.52%</w:t>
            </w:r>
          </w:p>
        </w:tc>
        <w:tc>
          <w:tcPr>
            <w:tcW w:w="1373" w:type="dxa"/>
            <w:tcBorders>
              <w:top w:val="nil"/>
              <w:left w:val="nil"/>
              <w:bottom w:val="single" w:sz="4" w:space="0" w:color="auto"/>
              <w:right w:val="single" w:sz="4" w:space="0" w:color="auto"/>
            </w:tcBorders>
            <w:shd w:val="clear" w:color="auto" w:fill="auto"/>
            <w:vAlign w:val="center"/>
          </w:tcPr>
          <w:p w:rsidR="00E2507D" w:rsidRPr="003156DA" w:rsidP="00E2507D">
            <w:pPr>
              <w:autoSpaceDE/>
              <w:autoSpaceDN/>
              <w:adjustRightInd/>
              <w:spacing w:after="0"/>
              <w:jc w:val="right"/>
              <w:rPr>
                <w:rFonts w:eastAsia="Times New Roman" w:cs="Arial"/>
                <w:lang w:eastAsia="en-GB"/>
              </w:rPr>
            </w:pPr>
            <w:r w:rsidRPr="003156DA">
              <w:rPr>
                <w:rFonts w:cs="Arial"/>
              </w:rPr>
              <w:t>0.049</w:t>
            </w:r>
          </w:p>
        </w:tc>
      </w:tr>
      <w:tr w:rsidTr="00E2507D">
        <w:tblPrEx>
          <w:tblW w:w="9356" w:type="dxa"/>
          <w:tblInd w:w="-147" w:type="dxa"/>
          <w:tblLook w:val="04A0"/>
        </w:tblPrEx>
        <w:trPr>
          <w:trHeight w:val="395"/>
        </w:trPr>
        <w:tc>
          <w:tcPr>
            <w:tcW w:w="822" w:type="dxa"/>
            <w:tcBorders>
              <w:top w:val="nil"/>
              <w:left w:val="single" w:sz="4" w:space="0" w:color="auto"/>
              <w:bottom w:val="single" w:sz="4" w:space="0" w:color="auto"/>
              <w:right w:val="single" w:sz="4" w:space="0" w:color="auto"/>
            </w:tcBorders>
            <w:shd w:val="clear" w:color="000000" w:fill="D9D9D9"/>
            <w:hideMark/>
          </w:tcPr>
          <w:p w:rsidR="00E2507D" w:rsidRPr="00FF7FAE" w:rsidP="00E2507D">
            <w:pPr>
              <w:autoSpaceDE/>
              <w:autoSpaceDN/>
              <w:adjustRightInd/>
              <w:spacing w:after="0"/>
              <w:jc w:val="center"/>
              <w:rPr>
                <w:rFonts w:eastAsia="Times New Roman" w:cs="Arial"/>
                <w:b/>
                <w:bCs/>
                <w:lang w:eastAsia="en-GB"/>
              </w:rPr>
            </w:pPr>
            <w:r w:rsidRPr="00FF7FAE">
              <w:rPr>
                <w:rFonts w:eastAsia="Times New Roman" w:cs="Arial"/>
                <w:b/>
                <w:bCs/>
                <w:lang w:eastAsia="en-GB"/>
              </w:rPr>
              <w:t> </w:t>
            </w:r>
          </w:p>
        </w:tc>
        <w:tc>
          <w:tcPr>
            <w:tcW w:w="2514" w:type="dxa"/>
            <w:tcBorders>
              <w:top w:val="nil"/>
              <w:left w:val="nil"/>
              <w:bottom w:val="single" w:sz="4" w:space="0" w:color="auto"/>
              <w:right w:val="single" w:sz="4" w:space="0" w:color="auto"/>
            </w:tcBorders>
            <w:shd w:val="clear" w:color="000000" w:fill="D9D9D9"/>
            <w:vAlign w:val="center"/>
            <w:hideMark/>
          </w:tcPr>
          <w:p w:rsidR="00E2507D" w:rsidRPr="00FF7FAE" w:rsidP="00E2507D">
            <w:pPr>
              <w:autoSpaceDE/>
              <w:autoSpaceDN/>
              <w:adjustRightInd/>
              <w:spacing w:after="0"/>
              <w:jc w:val="left"/>
              <w:rPr>
                <w:rFonts w:eastAsia="Times New Roman" w:cs="Arial"/>
                <w:b/>
                <w:bCs/>
                <w:lang w:eastAsia="en-GB"/>
              </w:rPr>
            </w:pPr>
            <w:r w:rsidRPr="00FF7FAE">
              <w:rPr>
                <w:rFonts w:eastAsia="Times New Roman" w:cs="Arial"/>
                <w:b/>
                <w:bCs/>
                <w:lang w:eastAsia="en-GB"/>
              </w:rPr>
              <w:t>Total – Finance</w:t>
            </w:r>
          </w:p>
        </w:tc>
        <w:tc>
          <w:tcPr>
            <w:tcW w:w="1273" w:type="dxa"/>
            <w:tcBorders>
              <w:top w:val="single" w:sz="4" w:space="0" w:color="auto"/>
              <w:left w:val="single" w:sz="4" w:space="0" w:color="auto"/>
              <w:bottom w:val="single" w:sz="4" w:space="0" w:color="auto"/>
              <w:right w:val="single" w:sz="4" w:space="0" w:color="auto"/>
            </w:tcBorders>
            <w:shd w:val="clear" w:color="000000" w:fill="D9D9D9"/>
            <w:vAlign w:val="center"/>
          </w:tcPr>
          <w:p w:rsidR="00E2507D" w:rsidRPr="001301AB" w:rsidP="00E2507D">
            <w:pPr>
              <w:autoSpaceDE/>
              <w:autoSpaceDN/>
              <w:adjustRightInd/>
              <w:spacing w:after="0"/>
              <w:jc w:val="right"/>
              <w:rPr>
                <w:rFonts w:eastAsia="Times New Roman" w:cs="Arial"/>
                <w:b/>
                <w:bCs/>
                <w:highlight w:val="yellow"/>
                <w:lang w:eastAsia="en-GB"/>
              </w:rPr>
            </w:pPr>
            <w:r w:rsidRPr="001301AB">
              <w:rPr>
                <w:rFonts w:eastAsia="Times New Roman" w:cs="Arial"/>
                <w:b/>
                <w:bCs/>
                <w:lang w:eastAsia="en-GB"/>
              </w:rPr>
              <w:t>39.077</w:t>
            </w:r>
          </w:p>
        </w:tc>
        <w:tc>
          <w:tcPr>
            <w:tcW w:w="1023" w:type="dxa"/>
            <w:tcBorders>
              <w:top w:val="single" w:sz="4" w:space="0" w:color="auto"/>
              <w:left w:val="nil"/>
              <w:bottom w:val="single" w:sz="4" w:space="0" w:color="auto"/>
              <w:right w:val="single" w:sz="4" w:space="0" w:color="auto"/>
            </w:tcBorders>
            <w:shd w:val="clear" w:color="000000" w:fill="D9D9D9"/>
            <w:vAlign w:val="center"/>
          </w:tcPr>
          <w:p w:rsidR="00E2507D" w:rsidRPr="003156DA" w:rsidP="00E2507D">
            <w:pPr>
              <w:autoSpaceDE/>
              <w:autoSpaceDN/>
              <w:adjustRightInd/>
              <w:spacing w:after="0"/>
              <w:jc w:val="right"/>
              <w:rPr>
                <w:rFonts w:eastAsia="Times New Roman" w:cs="Arial"/>
                <w:b/>
                <w:bCs/>
                <w:lang w:eastAsia="en-GB"/>
              </w:rPr>
            </w:pPr>
            <w:r w:rsidRPr="003156DA">
              <w:rPr>
                <w:rFonts w:cs="Arial"/>
                <w:b/>
                <w:bCs/>
              </w:rPr>
              <w:t>38.362</w:t>
            </w:r>
          </w:p>
        </w:tc>
        <w:tc>
          <w:tcPr>
            <w:tcW w:w="1134" w:type="dxa"/>
            <w:tcBorders>
              <w:top w:val="single" w:sz="4" w:space="0" w:color="auto"/>
              <w:left w:val="nil"/>
              <w:bottom w:val="single" w:sz="4" w:space="0" w:color="auto"/>
              <w:right w:val="single" w:sz="4" w:space="0" w:color="auto"/>
            </w:tcBorders>
            <w:shd w:val="clear" w:color="000000" w:fill="D9D9D9"/>
            <w:vAlign w:val="center"/>
          </w:tcPr>
          <w:p w:rsidR="00E2507D" w:rsidRPr="003156DA" w:rsidP="00E2507D">
            <w:pPr>
              <w:autoSpaceDE/>
              <w:autoSpaceDN/>
              <w:adjustRightInd/>
              <w:spacing w:after="0"/>
              <w:jc w:val="right"/>
              <w:rPr>
                <w:rFonts w:eastAsia="Times New Roman" w:cs="Arial"/>
                <w:b/>
                <w:bCs/>
                <w:lang w:eastAsia="en-GB"/>
              </w:rPr>
            </w:pPr>
            <w:r w:rsidRPr="003156DA">
              <w:rPr>
                <w:rFonts w:cs="Arial"/>
                <w:b/>
                <w:bCs/>
              </w:rPr>
              <w:t>-0.715</w:t>
            </w:r>
          </w:p>
        </w:tc>
        <w:tc>
          <w:tcPr>
            <w:tcW w:w="1217" w:type="dxa"/>
            <w:tcBorders>
              <w:top w:val="nil"/>
              <w:left w:val="single" w:sz="4" w:space="0" w:color="auto"/>
              <w:bottom w:val="single" w:sz="4" w:space="0" w:color="auto"/>
              <w:right w:val="single" w:sz="4" w:space="0" w:color="auto"/>
            </w:tcBorders>
            <w:shd w:val="clear" w:color="000000" w:fill="D9D9D9"/>
            <w:vAlign w:val="center"/>
          </w:tcPr>
          <w:p w:rsidR="00E2507D" w:rsidRPr="003156DA" w:rsidP="00E2507D">
            <w:pPr>
              <w:autoSpaceDE/>
              <w:autoSpaceDN/>
              <w:adjustRightInd/>
              <w:spacing w:after="0"/>
              <w:jc w:val="right"/>
              <w:rPr>
                <w:rFonts w:eastAsia="Times New Roman" w:cs="Arial"/>
                <w:b/>
                <w:bCs/>
                <w:lang w:eastAsia="en-GB"/>
              </w:rPr>
            </w:pPr>
            <w:r w:rsidRPr="003156DA">
              <w:rPr>
                <w:rFonts w:cs="Arial"/>
                <w:b/>
                <w:bCs/>
              </w:rPr>
              <w:t>-1.83%</w:t>
            </w:r>
          </w:p>
        </w:tc>
        <w:tc>
          <w:tcPr>
            <w:tcW w:w="1373" w:type="dxa"/>
            <w:tcBorders>
              <w:top w:val="nil"/>
              <w:left w:val="nil"/>
              <w:bottom w:val="single" w:sz="4" w:space="0" w:color="auto"/>
              <w:right w:val="single" w:sz="4" w:space="0" w:color="auto"/>
            </w:tcBorders>
            <w:shd w:val="clear" w:color="000000" w:fill="D9D9D9"/>
            <w:vAlign w:val="center"/>
          </w:tcPr>
          <w:p w:rsidR="00E2507D" w:rsidRPr="003156DA" w:rsidP="00E2507D">
            <w:pPr>
              <w:autoSpaceDE/>
              <w:autoSpaceDN/>
              <w:adjustRightInd/>
              <w:spacing w:after="0"/>
              <w:jc w:val="right"/>
              <w:rPr>
                <w:rFonts w:eastAsia="Times New Roman" w:cs="Arial"/>
                <w:b/>
                <w:bCs/>
                <w:lang w:eastAsia="en-GB"/>
              </w:rPr>
            </w:pPr>
            <w:r w:rsidRPr="003156DA">
              <w:rPr>
                <w:rFonts w:cs="Arial"/>
                <w:b/>
                <w:bCs/>
              </w:rPr>
              <w:t>-0.550</w:t>
            </w:r>
          </w:p>
        </w:tc>
      </w:tr>
    </w:tbl>
    <w:p w:rsidR="00E2507D" w:rsidRPr="00506BBC" w:rsidP="00E2507D">
      <w:pPr>
        <w:autoSpaceDE/>
        <w:autoSpaceDN/>
        <w:adjustRightInd/>
        <w:spacing w:after="0"/>
        <w:jc w:val="left"/>
        <w:rPr>
          <w:b/>
          <w:highlight w:val="yellow"/>
        </w:rPr>
      </w:pPr>
    </w:p>
    <w:p w:rsidR="00E2507D" w:rsidRPr="009419CE" w:rsidP="00E2507D">
      <w:pPr>
        <w:spacing w:after="0"/>
        <w:rPr>
          <w:rFonts w:cs="Arial"/>
        </w:rPr>
      </w:pPr>
      <w:r w:rsidRPr="009419CE">
        <w:rPr>
          <w:rFonts w:cs="Arial"/>
        </w:rPr>
        <w:t>Finance Services have underspent by £715,000 in 2019/20. The final outturn position has improved by £165,000 compared to the Quarter 3 position reported to Cabinet.</w:t>
      </w:r>
    </w:p>
    <w:p w:rsidR="00E2507D" w:rsidRPr="00506BBC" w:rsidP="00E2507D">
      <w:pPr>
        <w:tabs>
          <w:tab w:val="left" w:pos="851"/>
          <w:tab w:val="left" w:pos="1418"/>
        </w:tabs>
        <w:spacing w:after="0"/>
        <w:contextualSpacing/>
        <w:rPr>
          <w:rFonts w:cs="Arial"/>
          <w:b/>
          <w:highlight w:val="yellow"/>
        </w:rPr>
      </w:pPr>
    </w:p>
    <w:p w:rsidR="00E2507D" w:rsidRPr="00160340" w:rsidP="00E2507D">
      <w:pPr>
        <w:spacing w:after="0"/>
        <w:rPr>
          <w:rFonts w:cs="Arial"/>
        </w:rPr>
      </w:pPr>
      <w:bookmarkStart w:id="1" w:name="OLE_LINK1"/>
      <w:r w:rsidRPr="00711F8A">
        <w:rPr>
          <w:rFonts w:cs="Arial"/>
          <w:b/>
        </w:rPr>
        <w:t>3.7.1 BTLS</w:t>
      </w:r>
      <w:r>
        <w:rPr>
          <w:rFonts w:cs="Arial"/>
          <w:b/>
          <w:i/>
        </w:rPr>
        <w:t xml:space="preserve"> </w:t>
      </w:r>
      <w:r>
        <w:rPr>
          <w:rFonts w:cs="Arial"/>
        </w:rPr>
        <w:t>has</w:t>
      </w:r>
      <w:r>
        <w:rPr>
          <w:rFonts w:cs="Arial"/>
          <w:b/>
          <w:i/>
        </w:rPr>
        <w:t xml:space="preserve"> </w:t>
      </w:r>
      <w:r w:rsidRPr="00160340">
        <w:rPr>
          <w:rFonts w:cs="Arial"/>
        </w:rPr>
        <w:t>a</w:t>
      </w:r>
      <w:r>
        <w:rPr>
          <w:rFonts w:cs="Arial"/>
        </w:rPr>
        <w:t xml:space="preserve"> returned underspend of £174,000 for the year</w:t>
      </w:r>
      <w:r w:rsidRPr="00160340">
        <w:rPr>
          <w:rFonts w:cs="Arial"/>
        </w:rPr>
        <w:t xml:space="preserve">. This is as a result of the over delivery of savings, an income pressure, predominantly relating to payroll services to schools and an underspend in ongoing support costs.  </w:t>
      </w:r>
    </w:p>
    <w:p w:rsidR="00E2507D" w:rsidRPr="00506BBC" w:rsidP="00E2507D">
      <w:pPr>
        <w:spacing w:after="0"/>
        <w:rPr>
          <w:rFonts w:cs="Arial"/>
          <w:highlight w:val="yellow"/>
        </w:rPr>
      </w:pPr>
    </w:p>
    <w:p w:rsidR="00E2507D" w:rsidRPr="00160340" w:rsidP="00E2507D">
      <w:pPr>
        <w:spacing w:after="0"/>
        <w:rPr>
          <w:rFonts w:cs="Arial"/>
        </w:rPr>
      </w:pPr>
      <w:r w:rsidRPr="00711F8A">
        <w:rPr>
          <w:rFonts w:cs="Arial"/>
          <w:b/>
        </w:rPr>
        <w:t xml:space="preserve">3.7.3 Exchequer Services </w:t>
      </w:r>
      <w:r w:rsidRPr="00160340">
        <w:rPr>
          <w:rFonts w:cs="Arial"/>
        </w:rPr>
        <w:t xml:space="preserve">There is a further underspend of £435,000 in exchequer services relating to staff vacancies </w:t>
      </w:r>
      <w:r>
        <w:rPr>
          <w:rFonts w:cs="Arial"/>
        </w:rPr>
        <w:t xml:space="preserve">partially </w:t>
      </w:r>
      <w:r w:rsidRPr="00160340">
        <w:rPr>
          <w:rFonts w:cs="Arial"/>
        </w:rPr>
        <w:t>offset by an overspend on supplies and services and an under achievement of income.</w:t>
      </w:r>
    </w:p>
    <w:p w:rsidR="00E2507D" w:rsidP="00E2507D">
      <w:pPr>
        <w:spacing w:after="0"/>
        <w:rPr>
          <w:rFonts w:cs="Arial"/>
          <w:highlight w:val="yellow"/>
        </w:rPr>
      </w:pPr>
    </w:p>
    <w:p w:rsidR="00E2507D" w:rsidRPr="00160340" w:rsidP="00E2507D">
      <w:pPr>
        <w:spacing w:after="0"/>
        <w:rPr>
          <w:rFonts w:cs="Arial"/>
        </w:rPr>
      </w:pPr>
      <w:r w:rsidRPr="00160340">
        <w:rPr>
          <w:rFonts w:cs="Arial"/>
        </w:rPr>
        <w:t xml:space="preserve">Across the remainder of finance there have been smaller variances which predominantly relate to variances on staffing, operational costs, and income. </w:t>
      </w:r>
    </w:p>
    <w:p w:rsidR="00E2507D" w:rsidRPr="00506BBC" w:rsidP="00E2507D">
      <w:pPr>
        <w:tabs>
          <w:tab w:val="left" w:pos="851"/>
          <w:tab w:val="left" w:pos="1418"/>
        </w:tabs>
        <w:spacing w:after="0"/>
        <w:contextualSpacing/>
        <w:rPr>
          <w:rFonts w:cs="Arial"/>
          <w:b/>
          <w:highlight w:val="yellow"/>
        </w:rPr>
      </w:pPr>
      <w:bookmarkEnd w:id="1"/>
    </w:p>
    <w:p w:rsidR="00E2507D" w:rsidRPr="00FF7FAE" w:rsidP="00E2507D">
      <w:pPr>
        <w:spacing w:after="0"/>
        <w:rPr>
          <w:rFonts w:cs="Arial"/>
          <w:b/>
        </w:rPr>
      </w:pPr>
      <w:r w:rsidRPr="00FF7FAE">
        <w:rPr>
          <w:rFonts w:eastAsia="Times New Roman" w:cs="Arial"/>
          <w:b/>
          <w:lang w:eastAsia="en-GB"/>
        </w:rPr>
        <w:t>3.8</w:t>
      </w:r>
      <w:r w:rsidRPr="00FF7FAE">
        <w:rPr>
          <w:rFonts w:eastAsia="Times New Roman" w:cs="Arial"/>
          <w:b/>
          <w:lang w:eastAsia="en-GB"/>
        </w:rPr>
        <w:tab/>
      </w:r>
      <w:r w:rsidRPr="00FF7FAE">
        <w:rPr>
          <w:rFonts w:cs="Arial"/>
          <w:b/>
        </w:rPr>
        <w:t xml:space="preserve">Corporate Services </w:t>
      </w:r>
    </w:p>
    <w:p w:rsidR="00E2507D" w:rsidRPr="00506BBC" w:rsidP="00E2507D">
      <w:pPr>
        <w:autoSpaceDE/>
        <w:autoSpaceDN/>
        <w:adjustRightInd/>
        <w:spacing w:after="0"/>
        <w:jc w:val="left"/>
        <w:rPr>
          <w:b/>
          <w:highlight w:val="yellow"/>
        </w:rPr>
      </w:pPr>
    </w:p>
    <w:tbl>
      <w:tblPr>
        <w:tblW w:w="9229" w:type="dxa"/>
        <w:tblInd w:w="-147" w:type="dxa"/>
        <w:tblLook w:val="04A0"/>
      </w:tblPr>
      <w:tblGrid>
        <w:gridCol w:w="808"/>
        <w:gridCol w:w="2337"/>
        <w:gridCol w:w="1337"/>
        <w:gridCol w:w="1096"/>
        <w:gridCol w:w="1217"/>
        <w:gridCol w:w="1217"/>
        <w:gridCol w:w="1217"/>
      </w:tblGrid>
      <w:tr w:rsidTr="00E2507D">
        <w:tblPrEx>
          <w:tblW w:w="9229" w:type="dxa"/>
          <w:tblInd w:w="-147" w:type="dxa"/>
          <w:tblLook w:val="04A0"/>
        </w:tblPrEx>
        <w:trPr>
          <w:trHeight w:val="693"/>
        </w:trPr>
        <w:tc>
          <w:tcPr>
            <w:tcW w:w="808" w:type="dxa"/>
            <w:tcBorders>
              <w:top w:val="single" w:sz="4" w:space="0" w:color="auto"/>
              <w:left w:val="single" w:sz="4" w:space="0" w:color="auto"/>
              <w:bottom w:val="nil"/>
              <w:right w:val="single" w:sz="4" w:space="0" w:color="auto"/>
            </w:tcBorders>
            <w:shd w:val="clear" w:color="000000" w:fill="D9D9D9"/>
            <w:vAlign w:val="center"/>
            <w:hideMark/>
          </w:tcPr>
          <w:p w:rsidR="00E2507D" w:rsidRPr="00FF7FAE" w:rsidP="00E2507D">
            <w:pPr>
              <w:autoSpaceDE/>
              <w:autoSpaceDN/>
              <w:adjustRightInd/>
              <w:spacing w:after="0"/>
              <w:jc w:val="center"/>
              <w:rPr>
                <w:rFonts w:eastAsia="Times New Roman" w:cs="Arial"/>
                <w:b/>
                <w:bCs/>
                <w:lang w:eastAsia="en-GB"/>
              </w:rPr>
            </w:pPr>
            <w:r w:rsidRPr="00FF7FAE">
              <w:rPr>
                <w:rFonts w:eastAsia="Times New Roman" w:cs="Arial"/>
                <w:b/>
                <w:bCs/>
                <w:lang w:eastAsia="en-GB"/>
              </w:rPr>
              <w:t>Ref</w:t>
            </w:r>
          </w:p>
        </w:tc>
        <w:tc>
          <w:tcPr>
            <w:tcW w:w="2337" w:type="dxa"/>
            <w:tcBorders>
              <w:top w:val="single" w:sz="4" w:space="0" w:color="auto"/>
              <w:left w:val="nil"/>
              <w:bottom w:val="nil"/>
              <w:right w:val="single" w:sz="4" w:space="0" w:color="auto"/>
            </w:tcBorders>
            <w:shd w:val="clear" w:color="000000" w:fill="D9D9D9"/>
            <w:vAlign w:val="center"/>
            <w:hideMark/>
          </w:tcPr>
          <w:p w:rsidR="00E2507D" w:rsidRPr="00FF7FAE" w:rsidP="00E2507D">
            <w:pPr>
              <w:autoSpaceDE/>
              <w:autoSpaceDN/>
              <w:adjustRightInd/>
              <w:spacing w:after="0"/>
              <w:jc w:val="center"/>
              <w:rPr>
                <w:rFonts w:eastAsia="Times New Roman" w:cs="Arial"/>
                <w:b/>
                <w:bCs/>
                <w:lang w:eastAsia="en-GB"/>
              </w:rPr>
            </w:pPr>
            <w:r w:rsidRPr="00FF7FAE">
              <w:rPr>
                <w:rFonts w:eastAsia="Times New Roman" w:cs="Arial"/>
                <w:b/>
                <w:bCs/>
                <w:lang w:eastAsia="en-GB"/>
              </w:rPr>
              <w:t>Head of Service</w:t>
            </w:r>
          </w:p>
        </w:tc>
        <w:tc>
          <w:tcPr>
            <w:tcW w:w="1337" w:type="dxa"/>
            <w:tcBorders>
              <w:top w:val="single" w:sz="4" w:space="0" w:color="auto"/>
              <w:left w:val="nil"/>
              <w:bottom w:val="nil"/>
              <w:right w:val="single" w:sz="4" w:space="0" w:color="auto"/>
            </w:tcBorders>
            <w:shd w:val="clear" w:color="000000" w:fill="D9D9D9"/>
            <w:vAlign w:val="center"/>
            <w:hideMark/>
          </w:tcPr>
          <w:p w:rsidR="00E2507D" w:rsidRPr="00FF7FAE" w:rsidP="00E2507D">
            <w:pPr>
              <w:autoSpaceDE/>
              <w:autoSpaceDN/>
              <w:adjustRightInd/>
              <w:spacing w:after="0"/>
              <w:jc w:val="center"/>
              <w:rPr>
                <w:rFonts w:eastAsia="Times New Roman" w:cs="Arial"/>
                <w:b/>
                <w:bCs/>
                <w:lang w:eastAsia="en-GB"/>
              </w:rPr>
            </w:pPr>
            <w:r w:rsidRPr="00FF7FAE">
              <w:rPr>
                <w:rFonts w:eastAsia="Times New Roman" w:cs="Arial"/>
                <w:b/>
                <w:bCs/>
                <w:lang w:eastAsia="en-GB"/>
              </w:rPr>
              <w:t>Approved Budget</w:t>
            </w:r>
          </w:p>
        </w:tc>
        <w:tc>
          <w:tcPr>
            <w:tcW w:w="1096" w:type="dxa"/>
            <w:tcBorders>
              <w:top w:val="single" w:sz="4" w:space="0" w:color="auto"/>
              <w:left w:val="nil"/>
              <w:bottom w:val="nil"/>
              <w:right w:val="single" w:sz="4" w:space="0" w:color="auto"/>
            </w:tcBorders>
            <w:shd w:val="clear" w:color="000000" w:fill="D9D9D9"/>
            <w:vAlign w:val="center"/>
            <w:hideMark/>
          </w:tcPr>
          <w:p w:rsidR="00E2507D" w:rsidRPr="00FF7FAE" w:rsidP="00E2507D">
            <w:pPr>
              <w:autoSpaceDE/>
              <w:autoSpaceDN/>
              <w:adjustRightInd/>
              <w:spacing w:after="0"/>
              <w:jc w:val="center"/>
              <w:rPr>
                <w:rFonts w:eastAsia="Times New Roman" w:cs="Arial"/>
                <w:b/>
                <w:bCs/>
                <w:lang w:eastAsia="en-GB"/>
              </w:rPr>
            </w:pPr>
            <w:r w:rsidRPr="00FF7FAE">
              <w:rPr>
                <w:rFonts w:eastAsia="Times New Roman" w:cs="Arial"/>
                <w:b/>
                <w:bCs/>
                <w:lang w:eastAsia="en-GB"/>
              </w:rPr>
              <w:t>Outturn</w:t>
            </w:r>
          </w:p>
        </w:tc>
        <w:tc>
          <w:tcPr>
            <w:tcW w:w="1217" w:type="dxa"/>
            <w:tcBorders>
              <w:top w:val="single" w:sz="4" w:space="0" w:color="auto"/>
              <w:left w:val="nil"/>
              <w:bottom w:val="nil"/>
              <w:right w:val="single" w:sz="4" w:space="0" w:color="auto"/>
            </w:tcBorders>
            <w:shd w:val="clear" w:color="000000" w:fill="D9D9D9"/>
            <w:vAlign w:val="center"/>
            <w:hideMark/>
          </w:tcPr>
          <w:p w:rsidR="00E2507D" w:rsidRPr="00FF7FAE" w:rsidP="00E2507D">
            <w:pPr>
              <w:autoSpaceDE/>
              <w:autoSpaceDN/>
              <w:adjustRightInd/>
              <w:spacing w:after="0"/>
              <w:jc w:val="center"/>
              <w:rPr>
                <w:rFonts w:eastAsia="Times New Roman" w:cs="Arial"/>
                <w:b/>
                <w:bCs/>
                <w:lang w:eastAsia="en-GB"/>
              </w:rPr>
            </w:pPr>
            <w:r w:rsidRPr="00FF7FAE">
              <w:rPr>
                <w:rFonts w:eastAsia="Times New Roman" w:cs="Arial"/>
                <w:b/>
                <w:bCs/>
                <w:lang w:eastAsia="en-GB"/>
              </w:rPr>
              <w:t>Outturn Variance</w:t>
            </w:r>
          </w:p>
        </w:tc>
        <w:tc>
          <w:tcPr>
            <w:tcW w:w="1217" w:type="dxa"/>
            <w:tcBorders>
              <w:top w:val="single" w:sz="4" w:space="0" w:color="auto"/>
              <w:left w:val="nil"/>
              <w:bottom w:val="nil"/>
              <w:right w:val="single" w:sz="4" w:space="0" w:color="auto"/>
            </w:tcBorders>
            <w:shd w:val="clear" w:color="000000" w:fill="D9D9D9"/>
            <w:vAlign w:val="center"/>
          </w:tcPr>
          <w:p w:rsidR="00E2507D" w:rsidRPr="00FF7FAE" w:rsidP="00E2507D">
            <w:pPr>
              <w:autoSpaceDE/>
              <w:autoSpaceDN/>
              <w:adjustRightInd/>
              <w:spacing w:after="0"/>
              <w:jc w:val="center"/>
              <w:rPr>
                <w:rFonts w:eastAsia="Times New Roman" w:cs="Arial"/>
                <w:b/>
                <w:bCs/>
                <w:lang w:eastAsia="en-GB"/>
              </w:rPr>
            </w:pPr>
            <w:r w:rsidRPr="00FF7FAE">
              <w:rPr>
                <w:rFonts w:eastAsia="Times New Roman" w:cs="Arial"/>
                <w:b/>
                <w:bCs/>
                <w:lang w:eastAsia="en-GB"/>
              </w:rPr>
              <w:t>Outturn Variance</w:t>
            </w:r>
          </w:p>
        </w:tc>
        <w:tc>
          <w:tcPr>
            <w:tcW w:w="1217" w:type="dxa"/>
            <w:tcBorders>
              <w:top w:val="single" w:sz="4" w:space="0" w:color="auto"/>
              <w:left w:val="single" w:sz="4" w:space="0" w:color="auto"/>
              <w:bottom w:val="nil"/>
              <w:right w:val="single" w:sz="4" w:space="0" w:color="auto"/>
            </w:tcBorders>
            <w:shd w:val="clear" w:color="000000" w:fill="D9D9D9"/>
            <w:vAlign w:val="center"/>
            <w:hideMark/>
          </w:tcPr>
          <w:p w:rsidR="00E2507D" w:rsidRPr="00FF7FAE" w:rsidP="00E2507D">
            <w:pPr>
              <w:autoSpaceDE/>
              <w:autoSpaceDN/>
              <w:adjustRightInd/>
              <w:spacing w:after="0"/>
              <w:jc w:val="center"/>
              <w:rPr>
                <w:rFonts w:eastAsia="Times New Roman" w:cs="Arial"/>
                <w:b/>
                <w:bCs/>
                <w:lang w:eastAsia="en-GB"/>
              </w:rPr>
            </w:pPr>
            <w:r w:rsidRPr="00FF7FAE">
              <w:rPr>
                <w:rFonts w:eastAsia="Times New Roman" w:cs="Arial"/>
                <w:b/>
                <w:bCs/>
                <w:lang w:eastAsia="en-GB"/>
              </w:rPr>
              <w:t>Quarter 3 Forecast Variance</w:t>
            </w:r>
          </w:p>
        </w:tc>
      </w:tr>
      <w:tr w:rsidTr="00E2507D">
        <w:tblPrEx>
          <w:tblW w:w="9229" w:type="dxa"/>
          <w:tblInd w:w="-147" w:type="dxa"/>
          <w:tblLook w:val="04A0"/>
        </w:tblPrEx>
        <w:trPr>
          <w:trHeight w:val="340"/>
        </w:trPr>
        <w:tc>
          <w:tcPr>
            <w:tcW w:w="808" w:type="dxa"/>
            <w:tcBorders>
              <w:top w:val="nil"/>
              <w:left w:val="single" w:sz="4" w:space="0" w:color="auto"/>
              <w:bottom w:val="single" w:sz="4" w:space="0" w:color="auto"/>
              <w:right w:val="single" w:sz="4" w:space="0" w:color="auto"/>
            </w:tcBorders>
            <w:shd w:val="clear" w:color="000000" w:fill="D9D9D9"/>
            <w:vAlign w:val="bottom"/>
            <w:hideMark/>
          </w:tcPr>
          <w:p w:rsidR="00E2507D" w:rsidRPr="00FF7FAE" w:rsidP="00E2507D">
            <w:pPr>
              <w:autoSpaceDE/>
              <w:autoSpaceDN/>
              <w:adjustRightInd/>
              <w:spacing w:after="0"/>
              <w:jc w:val="center"/>
              <w:rPr>
                <w:rFonts w:eastAsia="Times New Roman" w:cs="Arial"/>
                <w:b/>
                <w:bCs/>
                <w:lang w:eastAsia="en-GB"/>
              </w:rPr>
            </w:pPr>
            <w:r w:rsidRPr="00FF7FAE">
              <w:rPr>
                <w:rFonts w:eastAsia="Times New Roman" w:cs="Arial"/>
                <w:b/>
                <w:bCs/>
                <w:lang w:eastAsia="en-GB"/>
              </w:rPr>
              <w:t> </w:t>
            </w:r>
          </w:p>
        </w:tc>
        <w:tc>
          <w:tcPr>
            <w:tcW w:w="2337" w:type="dxa"/>
            <w:tcBorders>
              <w:top w:val="nil"/>
              <w:left w:val="nil"/>
              <w:bottom w:val="single" w:sz="4" w:space="0" w:color="auto"/>
              <w:right w:val="single" w:sz="4" w:space="0" w:color="auto"/>
            </w:tcBorders>
            <w:shd w:val="clear" w:color="000000" w:fill="D9D9D9"/>
            <w:vAlign w:val="bottom"/>
            <w:hideMark/>
          </w:tcPr>
          <w:p w:rsidR="00E2507D" w:rsidRPr="00FF7FAE" w:rsidP="00E2507D">
            <w:pPr>
              <w:autoSpaceDE/>
              <w:autoSpaceDN/>
              <w:adjustRightInd/>
              <w:spacing w:after="0"/>
              <w:jc w:val="center"/>
              <w:rPr>
                <w:rFonts w:eastAsia="Times New Roman" w:cs="Arial"/>
                <w:b/>
                <w:bCs/>
                <w:lang w:eastAsia="en-GB"/>
              </w:rPr>
            </w:pPr>
            <w:r w:rsidRPr="00FF7FAE">
              <w:rPr>
                <w:rFonts w:eastAsia="Times New Roman" w:cs="Arial"/>
                <w:b/>
                <w:bCs/>
                <w:lang w:eastAsia="en-GB"/>
              </w:rPr>
              <w:t> </w:t>
            </w:r>
          </w:p>
        </w:tc>
        <w:tc>
          <w:tcPr>
            <w:tcW w:w="1337" w:type="dxa"/>
            <w:tcBorders>
              <w:top w:val="nil"/>
              <w:left w:val="nil"/>
              <w:bottom w:val="single" w:sz="4" w:space="0" w:color="auto"/>
              <w:right w:val="single" w:sz="4" w:space="0" w:color="auto"/>
            </w:tcBorders>
            <w:shd w:val="clear" w:color="000000" w:fill="D9D9D9"/>
            <w:vAlign w:val="bottom"/>
            <w:hideMark/>
          </w:tcPr>
          <w:p w:rsidR="00E2507D" w:rsidRPr="00FF7FAE" w:rsidP="00E2507D">
            <w:pPr>
              <w:autoSpaceDE/>
              <w:autoSpaceDN/>
              <w:adjustRightInd/>
              <w:spacing w:after="0"/>
              <w:jc w:val="center"/>
              <w:rPr>
                <w:rFonts w:eastAsia="Times New Roman" w:cs="Arial"/>
                <w:b/>
                <w:bCs/>
                <w:lang w:eastAsia="en-GB"/>
              </w:rPr>
            </w:pPr>
            <w:r w:rsidRPr="00FF7FAE">
              <w:rPr>
                <w:rFonts w:eastAsia="Times New Roman" w:cs="Arial"/>
                <w:b/>
                <w:bCs/>
                <w:lang w:eastAsia="en-GB"/>
              </w:rPr>
              <w:t xml:space="preserve"> £m </w:t>
            </w:r>
          </w:p>
        </w:tc>
        <w:tc>
          <w:tcPr>
            <w:tcW w:w="1096" w:type="dxa"/>
            <w:tcBorders>
              <w:top w:val="nil"/>
              <w:left w:val="nil"/>
              <w:bottom w:val="single" w:sz="4" w:space="0" w:color="auto"/>
              <w:right w:val="single" w:sz="4" w:space="0" w:color="auto"/>
            </w:tcBorders>
            <w:shd w:val="clear" w:color="000000" w:fill="D9D9D9"/>
            <w:vAlign w:val="bottom"/>
            <w:hideMark/>
          </w:tcPr>
          <w:p w:rsidR="00E2507D" w:rsidRPr="00FF7FAE" w:rsidP="00E2507D">
            <w:pPr>
              <w:autoSpaceDE/>
              <w:autoSpaceDN/>
              <w:adjustRightInd/>
              <w:spacing w:after="0"/>
              <w:jc w:val="center"/>
              <w:rPr>
                <w:rFonts w:eastAsia="Times New Roman" w:cs="Arial"/>
                <w:b/>
                <w:bCs/>
                <w:lang w:eastAsia="en-GB"/>
              </w:rPr>
            </w:pPr>
            <w:r w:rsidRPr="00FF7FAE">
              <w:rPr>
                <w:rFonts w:eastAsia="Times New Roman" w:cs="Arial"/>
                <w:b/>
                <w:bCs/>
                <w:lang w:eastAsia="en-GB"/>
              </w:rPr>
              <w:t xml:space="preserve"> £m </w:t>
            </w:r>
          </w:p>
        </w:tc>
        <w:tc>
          <w:tcPr>
            <w:tcW w:w="1217" w:type="dxa"/>
            <w:tcBorders>
              <w:top w:val="nil"/>
              <w:left w:val="nil"/>
              <w:bottom w:val="single" w:sz="4" w:space="0" w:color="auto"/>
              <w:right w:val="single" w:sz="4" w:space="0" w:color="auto"/>
            </w:tcBorders>
            <w:shd w:val="clear" w:color="000000" w:fill="D9D9D9"/>
            <w:vAlign w:val="bottom"/>
            <w:hideMark/>
          </w:tcPr>
          <w:p w:rsidR="00E2507D" w:rsidRPr="00FF7FAE" w:rsidP="00E2507D">
            <w:pPr>
              <w:autoSpaceDE/>
              <w:autoSpaceDN/>
              <w:adjustRightInd/>
              <w:spacing w:after="0"/>
              <w:jc w:val="center"/>
              <w:rPr>
                <w:rFonts w:eastAsia="Times New Roman" w:cs="Arial"/>
                <w:b/>
                <w:bCs/>
                <w:lang w:eastAsia="en-GB"/>
              </w:rPr>
            </w:pPr>
            <w:r w:rsidRPr="00FF7FAE">
              <w:rPr>
                <w:rFonts w:eastAsia="Times New Roman" w:cs="Arial"/>
                <w:b/>
                <w:bCs/>
                <w:lang w:eastAsia="en-GB"/>
              </w:rPr>
              <w:t xml:space="preserve"> £m </w:t>
            </w:r>
          </w:p>
        </w:tc>
        <w:tc>
          <w:tcPr>
            <w:tcW w:w="1217" w:type="dxa"/>
            <w:tcBorders>
              <w:top w:val="nil"/>
              <w:left w:val="nil"/>
              <w:bottom w:val="single" w:sz="4" w:space="0" w:color="auto"/>
              <w:right w:val="single" w:sz="4" w:space="0" w:color="auto"/>
            </w:tcBorders>
            <w:shd w:val="clear" w:color="000000" w:fill="D9D9D9"/>
            <w:vAlign w:val="bottom"/>
          </w:tcPr>
          <w:p w:rsidR="00E2507D" w:rsidRPr="00FF7FAE" w:rsidP="00E2507D">
            <w:pPr>
              <w:autoSpaceDE/>
              <w:autoSpaceDN/>
              <w:adjustRightInd/>
              <w:spacing w:after="0"/>
              <w:jc w:val="center"/>
              <w:rPr>
                <w:rFonts w:eastAsia="Times New Roman" w:cs="Arial"/>
                <w:b/>
                <w:bCs/>
                <w:lang w:eastAsia="en-GB"/>
              </w:rPr>
            </w:pPr>
            <w:r w:rsidRPr="00FF7FAE">
              <w:rPr>
                <w:rFonts w:eastAsia="Times New Roman" w:cs="Arial"/>
                <w:b/>
                <w:bCs/>
                <w:lang w:eastAsia="en-GB"/>
              </w:rPr>
              <w:t>%</w:t>
            </w:r>
          </w:p>
        </w:tc>
        <w:tc>
          <w:tcPr>
            <w:tcW w:w="1217" w:type="dxa"/>
            <w:tcBorders>
              <w:top w:val="nil"/>
              <w:left w:val="single" w:sz="4" w:space="0" w:color="auto"/>
              <w:bottom w:val="single" w:sz="4" w:space="0" w:color="auto"/>
              <w:right w:val="single" w:sz="4" w:space="0" w:color="auto"/>
            </w:tcBorders>
            <w:shd w:val="clear" w:color="000000" w:fill="D9D9D9"/>
            <w:vAlign w:val="bottom"/>
            <w:hideMark/>
          </w:tcPr>
          <w:p w:rsidR="00E2507D" w:rsidRPr="00FF7FAE" w:rsidP="00E2507D">
            <w:pPr>
              <w:autoSpaceDE/>
              <w:autoSpaceDN/>
              <w:adjustRightInd/>
              <w:spacing w:after="0"/>
              <w:jc w:val="center"/>
              <w:rPr>
                <w:rFonts w:eastAsia="Times New Roman" w:cs="Arial"/>
                <w:b/>
                <w:bCs/>
                <w:lang w:eastAsia="en-GB"/>
              </w:rPr>
            </w:pPr>
            <w:r w:rsidRPr="00FF7FAE">
              <w:rPr>
                <w:rFonts w:eastAsia="Times New Roman" w:cs="Arial"/>
                <w:b/>
                <w:bCs/>
                <w:lang w:eastAsia="en-GB"/>
              </w:rPr>
              <w:t xml:space="preserve"> £m </w:t>
            </w:r>
          </w:p>
        </w:tc>
      </w:tr>
      <w:tr w:rsidTr="00E2507D">
        <w:tblPrEx>
          <w:tblW w:w="9229" w:type="dxa"/>
          <w:tblInd w:w="-147" w:type="dxa"/>
          <w:tblLook w:val="04A0"/>
        </w:tblPrEx>
        <w:trPr>
          <w:trHeight w:val="506"/>
        </w:trPr>
        <w:tc>
          <w:tcPr>
            <w:tcW w:w="808" w:type="dxa"/>
            <w:tcBorders>
              <w:top w:val="nil"/>
              <w:left w:val="single" w:sz="4" w:space="0" w:color="auto"/>
              <w:bottom w:val="single" w:sz="4" w:space="0" w:color="auto"/>
              <w:right w:val="single" w:sz="4" w:space="0" w:color="auto"/>
            </w:tcBorders>
            <w:shd w:val="clear" w:color="auto" w:fill="auto"/>
            <w:vAlign w:val="center"/>
            <w:hideMark/>
          </w:tcPr>
          <w:p w:rsidR="00E2507D" w:rsidRPr="001301AB" w:rsidP="00E2507D">
            <w:pPr>
              <w:autoSpaceDE/>
              <w:autoSpaceDN/>
              <w:adjustRightInd/>
              <w:spacing w:after="0"/>
              <w:jc w:val="center"/>
              <w:rPr>
                <w:rFonts w:eastAsia="Times New Roman" w:cs="Arial"/>
                <w:b/>
                <w:bCs/>
                <w:lang w:eastAsia="en-GB"/>
              </w:rPr>
            </w:pPr>
            <w:r w:rsidRPr="001301AB">
              <w:rPr>
                <w:rFonts w:eastAsia="Times New Roman" w:cs="Arial"/>
                <w:b/>
                <w:bCs/>
                <w:lang w:eastAsia="en-GB"/>
              </w:rPr>
              <w:t>3.8.1</w:t>
            </w:r>
          </w:p>
        </w:tc>
        <w:tc>
          <w:tcPr>
            <w:tcW w:w="2337" w:type="dxa"/>
            <w:tcBorders>
              <w:top w:val="nil"/>
              <w:left w:val="nil"/>
              <w:bottom w:val="single" w:sz="4" w:space="0" w:color="auto"/>
              <w:right w:val="single" w:sz="4" w:space="0" w:color="auto"/>
            </w:tcBorders>
            <w:shd w:val="clear" w:color="auto" w:fill="auto"/>
            <w:vAlign w:val="center"/>
          </w:tcPr>
          <w:p w:rsidR="00E2507D" w:rsidRPr="001301AB" w:rsidP="00E2507D">
            <w:pPr>
              <w:autoSpaceDE/>
              <w:autoSpaceDN/>
              <w:adjustRightInd/>
              <w:spacing w:after="0"/>
              <w:jc w:val="left"/>
              <w:rPr>
                <w:rFonts w:eastAsia="Times New Roman" w:cs="Arial"/>
                <w:lang w:eastAsia="en-GB"/>
              </w:rPr>
            </w:pPr>
            <w:r w:rsidRPr="001301AB">
              <w:rPr>
                <w:rFonts w:eastAsia="Times New Roman" w:cs="Arial"/>
                <w:lang w:eastAsia="en-GB"/>
              </w:rPr>
              <w:t>Coroner's Service</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2507D" w:rsidRPr="001301AB" w:rsidP="00E2507D">
            <w:pPr>
              <w:autoSpaceDE/>
              <w:autoSpaceDN/>
              <w:adjustRightInd/>
              <w:spacing w:after="0"/>
              <w:jc w:val="right"/>
              <w:rPr>
                <w:rFonts w:eastAsia="Times New Roman" w:cs="Arial"/>
                <w:lang w:eastAsia="en-GB"/>
              </w:rPr>
            </w:pPr>
            <w:r w:rsidRPr="001301AB">
              <w:rPr>
                <w:rFonts w:eastAsia="Times New Roman" w:cs="Arial"/>
                <w:lang w:eastAsia="en-GB"/>
              </w:rPr>
              <w:t>2.421</w:t>
            </w:r>
          </w:p>
        </w:tc>
        <w:tc>
          <w:tcPr>
            <w:tcW w:w="1096" w:type="dxa"/>
            <w:tcBorders>
              <w:top w:val="single" w:sz="4" w:space="0" w:color="auto"/>
              <w:left w:val="nil"/>
              <w:bottom w:val="single" w:sz="4" w:space="0" w:color="auto"/>
              <w:right w:val="single" w:sz="4" w:space="0" w:color="auto"/>
            </w:tcBorders>
            <w:shd w:val="clear" w:color="auto" w:fill="auto"/>
            <w:vAlign w:val="center"/>
          </w:tcPr>
          <w:p w:rsidR="00E2507D" w:rsidRPr="00FE4D0D" w:rsidP="00E2507D">
            <w:pPr>
              <w:autoSpaceDE/>
              <w:autoSpaceDN/>
              <w:adjustRightInd/>
              <w:spacing w:after="0"/>
              <w:jc w:val="right"/>
              <w:rPr>
                <w:rFonts w:eastAsia="Times New Roman" w:cs="Arial"/>
                <w:lang w:eastAsia="en-GB"/>
              </w:rPr>
            </w:pPr>
            <w:r w:rsidRPr="00FE4D0D">
              <w:rPr>
                <w:rFonts w:cs="Arial"/>
              </w:rPr>
              <w:t>2.310</w:t>
            </w:r>
          </w:p>
        </w:tc>
        <w:tc>
          <w:tcPr>
            <w:tcW w:w="1217" w:type="dxa"/>
            <w:tcBorders>
              <w:top w:val="single" w:sz="4" w:space="0" w:color="auto"/>
              <w:left w:val="nil"/>
              <w:bottom w:val="single" w:sz="4" w:space="0" w:color="auto"/>
              <w:right w:val="single" w:sz="4" w:space="0" w:color="auto"/>
            </w:tcBorders>
            <w:shd w:val="clear" w:color="000000" w:fill="D9D9D9"/>
            <w:vAlign w:val="center"/>
          </w:tcPr>
          <w:p w:rsidR="00E2507D" w:rsidRPr="00FE4D0D" w:rsidP="00E2507D">
            <w:pPr>
              <w:autoSpaceDE/>
              <w:autoSpaceDN/>
              <w:adjustRightInd/>
              <w:spacing w:after="0"/>
              <w:jc w:val="right"/>
              <w:rPr>
                <w:rFonts w:eastAsia="Times New Roman" w:cs="Arial"/>
                <w:lang w:eastAsia="en-GB"/>
              </w:rPr>
            </w:pPr>
            <w:r w:rsidRPr="00FE4D0D">
              <w:rPr>
                <w:rFonts w:cs="Arial"/>
              </w:rPr>
              <w:t>-0.111</w:t>
            </w:r>
          </w:p>
        </w:tc>
        <w:tc>
          <w:tcPr>
            <w:tcW w:w="1217" w:type="dxa"/>
            <w:tcBorders>
              <w:top w:val="single" w:sz="4" w:space="0" w:color="auto"/>
              <w:left w:val="single" w:sz="4" w:space="0" w:color="auto"/>
              <w:bottom w:val="single" w:sz="4" w:space="0" w:color="auto"/>
              <w:right w:val="single" w:sz="4" w:space="0" w:color="auto"/>
            </w:tcBorders>
            <w:vAlign w:val="center"/>
          </w:tcPr>
          <w:p w:rsidR="00E2507D" w:rsidRPr="00FE4D0D" w:rsidP="00E2507D">
            <w:pPr>
              <w:autoSpaceDE/>
              <w:autoSpaceDN/>
              <w:adjustRightInd/>
              <w:spacing w:after="0"/>
              <w:jc w:val="right"/>
              <w:rPr>
                <w:rFonts w:cs="Arial"/>
              </w:rPr>
            </w:pPr>
            <w:r w:rsidRPr="00FE4D0D">
              <w:rPr>
                <w:rFonts w:cs="Arial"/>
              </w:rPr>
              <w:t>-4.58%</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E2507D" w:rsidRPr="00FE4D0D" w:rsidP="00E2507D">
            <w:pPr>
              <w:autoSpaceDE/>
              <w:autoSpaceDN/>
              <w:adjustRightInd/>
              <w:spacing w:after="0"/>
              <w:jc w:val="right"/>
              <w:rPr>
                <w:rFonts w:eastAsia="Times New Roman" w:cs="Arial"/>
                <w:lang w:eastAsia="en-GB"/>
              </w:rPr>
            </w:pPr>
            <w:r w:rsidRPr="00FE4D0D">
              <w:rPr>
                <w:rFonts w:cs="Arial"/>
              </w:rPr>
              <w:t>-0.210</w:t>
            </w:r>
          </w:p>
        </w:tc>
      </w:tr>
      <w:tr w:rsidTr="00E2507D">
        <w:tblPrEx>
          <w:tblW w:w="9229" w:type="dxa"/>
          <w:tblInd w:w="-147" w:type="dxa"/>
          <w:tblLook w:val="04A0"/>
        </w:tblPrEx>
        <w:trPr>
          <w:trHeight w:val="506"/>
        </w:trPr>
        <w:tc>
          <w:tcPr>
            <w:tcW w:w="808" w:type="dxa"/>
            <w:tcBorders>
              <w:top w:val="nil"/>
              <w:left w:val="single" w:sz="4" w:space="0" w:color="auto"/>
              <w:bottom w:val="single" w:sz="4" w:space="0" w:color="auto"/>
              <w:right w:val="single" w:sz="4" w:space="0" w:color="auto"/>
            </w:tcBorders>
            <w:shd w:val="clear" w:color="000000" w:fill="FFFFFF"/>
            <w:vAlign w:val="center"/>
            <w:hideMark/>
          </w:tcPr>
          <w:p w:rsidR="00E2507D" w:rsidRPr="001301AB" w:rsidP="00E2507D">
            <w:pPr>
              <w:autoSpaceDE/>
              <w:autoSpaceDN/>
              <w:adjustRightInd/>
              <w:spacing w:after="0"/>
              <w:jc w:val="center"/>
              <w:rPr>
                <w:rFonts w:eastAsia="Times New Roman" w:cs="Arial"/>
                <w:b/>
                <w:bCs/>
                <w:lang w:eastAsia="en-GB"/>
              </w:rPr>
            </w:pPr>
            <w:r w:rsidRPr="001301AB">
              <w:rPr>
                <w:rFonts w:eastAsia="Times New Roman" w:cs="Arial"/>
                <w:b/>
                <w:bCs/>
                <w:lang w:eastAsia="en-GB"/>
              </w:rPr>
              <w:t>3.8.2</w:t>
            </w:r>
          </w:p>
        </w:tc>
        <w:tc>
          <w:tcPr>
            <w:tcW w:w="2337" w:type="dxa"/>
            <w:tcBorders>
              <w:top w:val="nil"/>
              <w:left w:val="nil"/>
              <w:bottom w:val="single" w:sz="4" w:space="0" w:color="auto"/>
              <w:right w:val="single" w:sz="4" w:space="0" w:color="auto"/>
            </w:tcBorders>
            <w:shd w:val="clear" w:color="000000" w:fill="FFFFFF"/>
            <w:vAlign w:val="center"/>
          </w:tcPr>
          <w:p w:rsidR="00E2507D" w:rsidRPr="001301AB" w:rsidP="00E2507D">
            <w:pPr>
              <w:autoSpaceDE/>
              <w:autoSpaceDN/>
              <w:adjustRightInd/>
              <w:spacing w:after="0"/>
              <w:jc w:val="left"/>
              <w:rPr>
                <w:rFonts w:eastAsia="Times New Roman" w:cs="Arial"/>
                <w:lang w:eastAsia="en-GB"/>
              </w:rPr>
            </w:pPr>
            <w:r w:rsidRPr="001301AB">
              <w:rPr>
                <w:rFonts w:eastAsia="Times New Roman" w:cs="Arial"/>
                <w:lang w:eastAsia="en-GB"/>
              </w:rPr>
              <w:t>Human Resources</w:t>
            </w:r>
          </w:p>
        </w:tc>
        <w:tc>
          <w:tcPr>
            <w:tcW w:w="1337" w:type="dxa"/>
            <w:tcBorders>
              <w:top w:val="nil"/>
              <w:left w:val="single" w:sz="4" w:space="0" w:color="auto"/>
              <w:bottom w:val="single" w:sz="4" w:space="0" w:color="auto"/>
              <w:right w:val="single" w:sz="4" w:space="0" w:color="auto"/>
            </w:tcBorders>
            <w:shd w:val="clear" w:color="auto" w:fill="auto"/>
            <w:vAlign w:val="center"/>
          </w:tcPr>
          <w:p w:rsidR="00E2507D" w:rsidRPr="001301AB" w:rsidP="00E2507D">
            <w:pPr>
              <w:autoSpaceDE/>
              <w:autoSpaceDN/>
              <w:adjustRightInd/>
              <w:spacing w:after="0"/>
              <w:jc w:val="right"/>
              <w:rPr>
                <w:rFonts w:eastAsia="Times New Roman" w:cs="Arial"/>
                <w:lang w:eastAsia="en-GB"/>
              </w:rPr>
            </w:pPr>
            <w:r w:rsidRPr="001301AB">
              <w:rPr>
                <w:rFonts w:eastAsia="Times New Roman" w:cs="Arial"/>
                <w:lang w:eastAsia="en-GB"/>
              </w:rPr>
              <w:t>0.935</w:t>
            </w:r>
          </w:p>
        </w:tc>
        <w:tc>
          <w:tcPr>
            <w:tcW w:w="1096" w:type="dxa"/>
            <w:tcBorders>
              <w:top w:val="nil"/>
              <w:left w:val="nil"/>
              <w:bottom w:val="single" w:sz="4" w:space="0" w:color="auto"/>
              <w:right w:val="single" w:sz="4" w:space="0" w:color="auto"/>
            </w:tcBorders>
            <w:shd w:val="clear" w:color="auto" w:fill="auto"/>
            <w:vAlign w:val="center"/>
          </w:tcPr>
          <w:p w:rsidR="00E2507D" w:rsidRPr="00FE4D0D" w:rsidP="00E2507D">
            <w:pPr>
              <w:autoSpaceDE/>
              <w:autoSpaceDN/>
              <w:adjustRightInd/>
              <w:spacing w:after="0"/>
              <w:jc w:val="right"/>
              <w:rPr>
                <w:rFonts w:eastAsia="Times New Roman" w:cs="Arial"/>
                <w:lang w:eastAsia="en-GB"/>
              </w:rPr>
            </w:pPr>
            <w:r w:rsidRPr="00FE4D0D">
              <w:rPr>
                <w:rFonts w:cs="Arial"/>
              </w:rPr>
              <w:t>0.688</w:t>
            </w:r>
          </w:p>
        </w:tc>
        <w:tc>
          <w:tcPr>
            <w:tcW w:w="1217" w:type="dxa"/>
            <w:tcBorders>
              <w:top w:val="nil"/>
              <w:left w:val="nil"/>
              <w:bottom w:val="single" w:sz="4" w:space="0" w:color="auto"/>
              <w:right w:val="single" w:sz="4" w:space="0" w:color="auto"/>
            </w:tcBorders>
            <w:shd w:val="clear" w:color="000000" w:fill="D9D9D9"/>
            <w:vAlign w:val="center"/>
          </w:tcPr>
          <w:p w:rsidR="00E2507D" w:rsidRPr="00FE4D0D" w:rsidP="00E2507D">
            <w:pPr>
              <w:autoSpaceDE/>
              <w:autoSpaceDN/>
              <w:adjustRightInd/>
              <w:spacing w:after="0"/>
              <w:jc w:val="right"/>
              <w:rPr>
                <w:rFonts w:eastAsia="Times New Roman" w:cs="Arial"/>
                <w:lang w:eastAsia="en-GB"/>
              </w:rPr>
            </w:pPr>
            <w:r w:rsidRPr="00FE4D0D">
              <w:rPr>
                <w:rFonts w:cs="Arial"/>
              </w:rPr>
              <w:t>-0.247</w:t>
            </w:r>
          </w:p>
        </w:tc>
        <w:tc>
          <w:tcPr>
            <w:tcW w:w="1217" w:type="dxa"/>
            <w:tcBorders>
              <w:top w:val="nil"/>
              <w:left w:val="single" w:sz="4" w:space="0" w:color="auto"/>
              <w:bottom w:val="single" w:sz="4" w:space="0" w:color="auto"/>
              <w:right w:val="single" w:sz="4" w:space="0" w:color="auto"/>
            </w:tcBorders>
            <w:vAlign w:val="center"/>
          </w:tcPr>
          <w:p w:rsidR="00E2507D" w:rsidRPr="00FE4D0D" w:rsidP="00E2507D">
            <w:pPr>
              <w:autoSpaceDE/>
              <w:autoSpaceDN/>
              <w:adjustRightInd/>
              <w:spacing w:after="0"/>
              <w:jc w:val="right"/>
              <w:rPr>
                <w:rFonts w:cs="Arial"/>
              </w:rPr>
            </w:pPr>
            <w:r w:rsidRPr="00FE4D0D">
              <w:rPr>
                <w:rFonts w:cs="Arial"/>
              </w:rPr>
              <w:t>-26.42%</w:t>
            </w:r>
          </w:p>
        </w:tc>
        <w:tc>
          <w:tcPr>
            <w:tcW w:w="1217" w:type="dxa"/>
            <w:tcBorders>
              <w:top w:val="nil"/>
              <w:left w:val="single" w:sz="4" w:space="0" w:color="auto"/>
              <w:bottom w:val="single" w:sz="4" w:space="0" w:color="auto"/>
              <w:right w:val="single" w:sz="4" w:space="0" w:color="auto"/>
            </w:tcBorders>
            <w:shd w:val="clear" w:color="auto" w:fill="auto"/>
            <w:vAlign w:val="center"/>
          </w:tcPr>
          <w:p w:rsidR="00E2507D" w:rsidRPr="00FE4D0D" w:rsidP="00E2507D">
            <w:pPr>
              <w:autoSpaceDE/>
              <w:autoSpaceDN/>
              <w:adjustRightInd/>
              <w:spacing w:after="0"/>
              <w:jc w:val="right"/>
              <w:rPr>
                <w:rFonts w:eastAsia="Times New Roman" w:cs="Arial"/>
                <w:lang w:eastAsia="en-GB"/>
              </w:rPr>
            </w:pPr>
            <w:r w:rsidRPr="00FE4D0D">
              <w:rPr>
                <w:rFonts w:cs="Arial"/>
              </w:rPr>
              <w:t>-0.141</w:t>
            </w:r>
          </w:p>
        </w:tc>
      </w:tr>
      <w:tr w:rsidTr="00E2507D">
        <w:tblPrEx>
          <w:tblW w:w="9229" w:type="dxa"/>
          <w:tblInd w:w="-147" w:type="dxa"/>
          <w:tblLook w:val="04A0"/>
        </w:tblPrEx>
        <w:trPr>
          <w:trHeight w:val="506"/>
        </w:trPr>
        <w:tc>
          <w:tcPr>
            <w:tcW w:w="808" w:type="dxa"/>
            <w:tcBorders>
              <w:top w:val="nil"/>
              <w:left w:val="single" w:sz="4" w:space="0" w:color="auto"/>
              <w:bottom w:val="single" w:sz="4" w:space="0" w:color="auto"/>
              <w:right w:val="single" w:sz="4" w:space="0" w:color="auto"/>
            </w:tcBorders>
            <w:shd w:val="clear" w:color="000000" w:fill="FFFFFF"/>
            <w:vAlign w:val="center"/>
            <w:hideMark/>
          </w:tcPr>
          <w:p w:rsidR="00E2507D" w:rsidRPr="001301AB" w:rsidP="00E2507D">
            <w:pPr>
              <w:autoSpaceDE/>
              <w:autoSpaceDN/>
              <w:adjustRightInd/>
              <w:spacing w:after="0"/>
              <w:jc w:val="center"/>
              <w:rPr>
                <w:rFonts w:eastAsia="Times New Roman" w:cs="Arial"/>
                <w:b/>
                <w:bCs/>
                <w:lang w:eastAsia="en-GB"/>
              </w:rPr>
            </w:pPr>
            <w:r w:rsidRPr="001301AB">
              <w:rPr>
                <w:rFonts w:eastAsia="Times New Roman" w:cs="Arial"/>
                <w:b/>
                <w:bCs/>
                <w:lang w:eastAsia="en-GB"/>
              </w:rPr>
              <w:t>3.8.3</w:t>
            </w:r>
          </w:p>
        </w:tc>
        <w:tc>
          <w:tcPr>
            <w:tcW w:w="2337" w:type="dxa"/>
            <w:tcBorders>
              <w:top w:val="nil"/>
              <w:left w:val="nil"/>
              <w:bottom w:val="single" w:sz="4" w:space="0" w:color="auto"/>
              <w:right w:val="single" w:sz="4" w:space="0" w:color="auto"/>
            </w:tcBorders>
            <w:shd w:val="clear" w:color="000000" w:fill="FFFFFF"/>
            <w:vAlign w:val="center"/>
          </w:tcPr>
          <w:p w:rsidR="00E2507D" w:rsidRPr="001301AB" w:rsidP="00E2507D">
            <w:pPr>
              <w:autoSpaceDE/>
              <w:autoSpaceDN/>
              <w:adjustRightInd/>
              <w:spacing w:after="0"/>
              <w:jc w:val="left"/>
              <w:rPr>
                <w:rFonts w:eastAsia="Times New Roman" w:cs="Arial"/>
                <w:lang w:eastAsia="en-GB"/>
              </w:rPr>
            </w:pPr>
            <w:r w:rsidRPr="001301AB">
              <w:rPr>
                <w:rFonts w:eastAsia="Times New Roman" w:cs="Arial"/>
                <w:lang w:eastAsia="en-GB"/>
              </w:rPr>
              <w:t xml:space="preserve">Legal and Democratic </w:t>
            </w:r>
          </w:p>
        </w:tc>
        <w:tc>
          <w:tcPr>
            <w:tcW w:w="1337" w:type="dxa"/>
            <w:tcBorders>
              <w:top w:val="nil"/>
              <w:left w:val="single" w:sz="4" w:space="0" w:color="auto"/>
              <w:bottom w:val="single" w:sz="4" w:space="0" w:color="auto"/>
              <w:right w:val="single" w:sz="4" w:space="0" w:color="auto"/>
            </w:tcBorders>
            <w:shd w:val="clear" w:color="auto" w:fill="auto"/>
            <w:vAlign w:val="center"/>
          </w:tcPr>
          <w:p w:rsidR="00E2507D" w:rsidRPr="001301AB" w:rsidP="00E2507D">
            <w:pPr>
              <w:autoSpaceDE/>
              <w:autoSpaceDN/>
              <w:adjustRightInd/>
              <w:spacing w:after="0"/>
              <w:jc w:val="right"/>
              <w:rPr>
                <w:rFonts w:eastAsia="Times New Roman" w:cs="Arial"/>
                <w:lang w:eastAsia="en-GB"/>
              </w:rPr>
            </w:pPr>
            <w:r w:rsidRPr="001301AB">
              <w:rPr>
                <w:rFonts w:eastAsia="Times New Roman" w:cs="Arial"/>
                <w:lang w:eastAsia="en-GB"/>
              </w:rPr>
              <w:t>12.910</w:t>
            </w:r>
          </w:p>
        </w:tc>
        <w:tc>
          <w:tcPr>
            <w:tcW w:w="1096" w:type="dxa"/>
            <w:tcBorders>
              <w:top w:val="nil"/>
              <w:left w:val="nil"/>
              <w:bottom w:val="single" w:sz="4" w:space="0" w:color="auto"/>
              <w:right w:val="single" w:sz="4" w:space="0" w:color="auto"/>
            </w:tcBorders>
            <w:shd w:val="clear" w:color="auto" w:fill="auto"/>
            <w:vAlign w:val="center"/>
          </w:tcPr>
          <w:p w:rsidR="00E2507D" w:rsidRPr="00FE4D0D" w:rsidP="00E2507D">
            <w:pPr>
              <w:autoSpaceDE/>
              <w:autoSpaceDN/>
              <w:adjustRightInd/>
              <w:spacing w:after="0"/>
              <w:jc w:val="right"/>
              <w:rPr>
                <w:rFonts w:eastAsia="Times New Roman" w:cs="Arial"/>
                <w:lang w:eastAsia="en-GB"/>
              </w:rPr>
            </w:pPr>
            <w:r w:rsidRPr="00FE4D0D">
              <w:rPr>
                <w:rFonts w:cs="Arial"/>
              </w:rPr>
              <w:t>13.196</w:t>
            </w:r>
          </w:p>
        </w:tc>
        <w:tc>
          <w:tcPr>
            <w:tcW w:w="1217" w:type="dxa"/>
            <w:tcBorders>
              <w:top w:val="nil"/>
              <w:left w:val="nil"/>
              <w:bottom w:val="single" w:sz="4" w:space="0" w:color="auto"/>
              <w:right w:val="single" w:sz="4" w:space="0" w:color="auto"/>
            </w:tcBorders>
            <w:shd w:val="clear" w:color="000000" w:fill="D9D9D9"/>
            <w:vAlign w:val="center"/>
          </w:tcPr>
          <w:p w:rsidR="00E2507D" w:rsidRPr="00FE4D0D" w:rsidP="00E2507D">
            <w:pPr>
              <w:autoSpaceDE/>
              <w:autoSpaceDN/>
              <w:adjustRightInd/>
              <w:spacing w:after="0"/>
              <w:jc w:val="right"/>
              <w:rPr>
                <w:rFonts w:eastAsia="Times New Roman" w:cs="Arial"/>
                <w:lang w:eastAsia="en-GB"/>
              </w:rPr>
            </w:pPr>
            <w:r w:rsidRPr="00FE4D0D">
              <w:rPr>
                <w:rFonts w:cs="Arial"/>
              </w:rPr>
              <w:t>0.286</w:t>
            </w:r>
          </w:p>
        </w:tc>
        <w:tc>
          <w:tcPr>
            <w:tcW w:w="1217" w:type="dxa"/>
            <w:tcBorders>
              <w:top w:val="nil"/>
              <w:left w:val="single" w:sz="4" w:space="0" w:color="auto"/>
              <w:bottom w:val="single" w:sz="4" w:space="0" w:color="auto"/>
              <w:right w:val="single" w:sz="4" w:space="0" w:color="auto"/>
            </w:tcBorders>
            <w:vAlign w:val="center"/>
          </w:tcPr>
          <w:p w:rsidR="00E2507D" w:rsidRPr="00FE4D0D" w:rsidP="00E2507D">
            <w:pPr>
              <w:autoSpaceDE/>
              <w:autoSpaceDN/>
              <w:adjustRightInd/>
              <w:spacing w:after="0"/>
              <w:jc w:val="right"/>
              <w:rPr>
                <w:rFonts w:cs="Arial"/>
              </w:rPr>
            </w:pPr>
            <w:r w:rsidRPr="00FE4D0D">
              <w:rPr>
                <w:rFonts w:cs="Arial"/>
              </w:rPr>
              <w:t>2.22%</w:t>
            </w:r>
          </w:p>
        </w:tc>
        <w:tc>
          <w:tcPr>
            <w:tcW w:w="1217" w:type="dxa"/>
            <w:tcBorders>
              <w:top w:val="nil"/>
              <w:left w:val="single" w:sz="4" w:space="0" w:color="auto"/>
              <w:bottom w:val="single" w:sz="4" w:space="0" w:color="auto"/>
              <w:right w:val="single" w:sz="4" w:space="0" w:color="auto"/>
            </w:tcBorders>
            <w:shd w:val="clear" w:color="auto" w:fill="auto"/>
            <w:vAlign w:val="center"/>
          </w:tcPr>
          <w:p w:rsidR="00E2507D" w:rsidRPr="00FE4D0D" w:rsidP="00E2507D">
            <w:pPr>
              <w:autoSpaceDE/>
              <w:autoSpaceDN/>
              <w:adjustRightInd/>
              <w:spacing w:after="0"/>
              <w:jc w:val="right"/>
              <w:rPr>
                <w:rFonts w:eastAsia="Times New Roman" w:cs="Arial"/>
                <w:lang w:eastAsia="en-GB"/>
              </w:rPr>
            </w:pPr>
            <w:r w:rsidRPr="00FE4D0D">
              <w:rPr>
                <w:rFonts w:cs="Arial"/>
              </w:rPr>
              <w:t>0.565</w:t>
            </w:r>
          </w:p>
        </w:tc>
      </w:tr>
      <w:tr w:rsidTr="00E2507D">
        <w:tblPrEx>
          <w:tblW w:w="9229" w:type="dxa"/>
          <w:tblInd w:w="-147" w:type="dxa"/>
          <w:tblLook w:val="04A0"/>
        </w:tblPrEx>
        <w:trPr>
          <w:trHeight w:val="506"/>
        </w:trPr>
        <w:tc>
          <w:tcPr>
            <w:tcW w:w="808" w:type="dxa"/>
            <w:tcBorders>
              <w:top w:val="nil"/>
              <w:left w:val="single" w:sz="4" w:space="0" w:color="auto"/>
              <w:bottom w:val="single" w:sz="4" w:space="0" w:color="auto"/>
              <w:right w:val="single" w:sz="4" w:space="0" w:color="auto"/>
            </w:tcBorders>
            <w:shd w:val="clear" w:color="000000" w:fill="FFFFFF"/>
            <w:vAlign w:val="center"/>
            <w:hideMark/>
          </w:tcPr>
          <w:p w:rsidR="00E2507D" w:rsidRPr="001301AB" w:rsidP="00E2507D">
            <w:pPr>
              <w:autoSpaceDE/>
              <w:autoSpaceDN/>
              <w:adjustRightInd/>
              <w:spacing w:after="0"/>
              <w:jc w:val="center"/>
              <w:rPr>
                <w:rFonts w:eastAsia="Times New Roman" w:cs="Arial"/>
                <w:b/>
                <w:bCs/>
                <w:lang w:eastAsia="en-GB"/>
              </w:rPr>
            </w:pPr>
            <w:r w:rsidRPr="001301AB">
              <w:rPr>
                <w:rFonts w:eastAsia="Times New Roman" w:cs="Arial"/>
                <w:b/>
                <w:bCs/>
                <w:lang w:eastAsia="en-GB"/>
              </w:rPr>
              <w:t>3.8.4</w:t>
            </w:r>
          </w:p>
        </w:tc>
        <w:tc>
          <w:tcPr>
            <w:tcW w:w="2337" w:type="dxa"/>
            <w:tcBorders>
              <w:top w:val="nil"/>
              <w:left w:val="nil"/>
              <w:bottom w:val="single" w:sz="4" w:space="0" w:color="auto"/>
              <w:right w:val="single" w:sz="4" w:space="0" w:color="auto"/>
            </w:tcBorders>
            <w:shd w:val="clear" w:color="000000" w:fill="FFFFFF"/>
            <w:vAlign w:val="center"/>
          </w:tcPr>
          <w:p w:rsidR="00E2507D" w:rsidRPr="001301AB" w:rsidP="00E2507D">
            <w:pPr>
              <w:autoSpaceDE/>
              <w:autoSpaceDN/>
              <w:adjustRightInd/>
              <w:spacing w:after="0"/>
              <w:jc w:val="left"/>
              <w:rPr>
                <w:rFonts w:eastAsia="Times New Roman" w:cs="Arial"/>
                <w:lang w:eastAsia="en-GB"/>
              </w:rPr>
            </w:pPr>
            <w:r w:rsidRPr="001301AB">
              <w:rPr>
                <w:rFonts w:eastAsia="Times New Roman" w:cs="Arial"/>
                <w:lang w:eastAsia="en-GB"/>
              </w:rPr>
              <w:t>Skills Learning &amp; Development</w:t>
            </w:r>
          </w:p>
        </w:tc>
        <w:tc>
          <w:tcPr>
            <w:tcW w:w="1337" w:type="dxa"/>
            <w:tcBorders>
              <w:top w:val="nil"/>
              <w:left w:val="single" w:sz="4" w:space="0" w:color="auto"/>
              <w:bottom w:val="single" w:sz="4" w:space="0" w:color="auto"/>
              <w:right w:val="single" w:sz="4" w:space="0" w:color="auto"/>
            </w:tcBorders>
            <w:shd w:val="clear" w:color="auto" w:fill="auto"/>
            <w:vAlign w:val="center"/>
          </w:tcPr>
          <w:p w:rsidR="00E2507D" w:rsidRPr="001301AB" w:rsidP="00E2507D">
            <w:pPr>
              <w:autoSpaceDE/>
              <w:autoSpaceDN/>
              <w:adjustRightInd/>
              <w:spacing w:after="0"/>
              <w:jc w:val="right"/>
              <w:rPr>
                <w:rFonts w:eastAsia="Times New Roman" w:cs="Arial"/>
                <w:lang w:eastAsia="en-GB"/>
              </w:rPr>
            </w:pPr>
            <w:r w:rsidRPr="001301AB">
              <w:rPr>
                <w:rFonts w:eastAsia="Times New Roman" w:cs="Arial"/>
                <w:lang w:eastAsia="en-GB"/>
              </w:rPr>
              <w:t>2.762</w:t>
            </w:r>
          </w:p>
        </w:tc>
        <w:tc>
          <w:tcPr>
            <w:tcW w:w="1096" w:type="dxa"/>
            <w:tcBorders>
              <w:top w:val="nil"/>
              <w:left w:val="nil"/>
              <w:bottom w:val="single" w:sz="4" w:space="0" w:color="auto"/>
              <w:right w:val="single" w:sz="4" w:space="0" w:color="auto"/>
            </w:tcBorders>
            <w:shd w:val="clear" w:color="auto" w:fill="auto"/>
            <w:vAlign w:val="center"/>
          </w:tcPr>
          <w:p w:rsidR="00E2507D" w:rsidRPr="00FE4D0D" w:rsidP="00E2507D">
            <w:pPr>
              <w:autoSpaceDE/>
              <w:autoSpaceDN/>
              <w:adjustRightInd/>
              <w:spacing w:after="0"/>
              <w:jc w:val="right"/>
              <w:rPr>
                <w:rFonts w:eastAsia="Times New Roman" w:cs="Arial"/>
                <w:lang w:eastAsia="en-GB"/>
              </w:rPr>
            </w:pPr>
            <w:r w:rsidRPr="00FE4D0D">
              <w:rPr>
                <w:rFonts w:cs="Arial"/>
              </w:rPr>
              <w:t>2.422</w:t>
            </w:r>
          </w:p>
        </w:tc>
        <w:tc>
          <w:tcPr>
            <w:tcW w:w="1217" w:type="dxa"/>
            <w:tcBorders>
              <w:top w:val="nil"/>
              <w:left w:val="nil"/>
              <w:bottom w:val="single" w:sz="4" w:space="0" w:color="auto"/>
              <w:right w:val="single" w:sz="4" w:space="0" w:color="auto"/>
            </w:tcBorders>
            <w:shd w:val="clear" w:color="000000" w:fill="D9D9D9"/>
            <w:vAlign w:val="center"/>
          </w:tcPr>
          <w:p w:rsidR="00E2507D" w:rsidRPr="00FE4D0D" w:rsidP="00E2507D">
            <w:pPr>
              <w:autoSpaceDE/>
              <w:autoSpaceDN/>
              <w:adjustRightInd/>
              <w:spacing w:after="0"/>
              <w:jc w:val="right"/>
              <w:rPr>
                <w:rFonts w:eastAsia="Times New Roman" w:cs="Arial"/>
                <w:lang w:eastAsia="en-GB"/>
              </w:rPr>
            </w:pPr>
            <w:r w:rsidRPr="00FE4D0D">
              <w:rPr>
                <w:rFonts w:cs="Arial"/>
              </w:rPr>
              <w:t>-0.340</w:t>
            </w:r>
          </w:p>
        </w:tc>
        <w:tc>
          <w:tcPr>
            <w:tcW w:w="1217" w:type="dxa"/>
            <w:tcBorders>
              <w:top w:val="nil"/>
              <w:left w:val="single" w:sz="4" w:space="0" w:color="auto"/>
              <w:bottom w:val="single" w:sz="4" w:space="0" w:color="auto"/>
              <w:right w:val="single" w:sz="4" w:space="0" w:color="auto"/>
            </w:tcBorders>
            <w:vAlign w:val="center"/>
          </w:tcPr>
          <w:p w:rsidR="00E2507D" w:rsidRPr="00FE4D0D" w:rsidP="00E2507D">
            <w:pPr>
              <w:autoSpaceDE/>
              <w:autoSpaceDN/>
              <w:adjustRightInd/>
              <w:spacing w:after="0"/>
              <w:jc w:val="right"/>
              <w:rPr>
                <w:rFonts w:cs="Arial"/>
              </w:rPr>
            </w:pPr>
            <w:r w:rsidRPr="00FE4D0D">
              <w:rPr>
                <w:rFonts w:cs="Arial"/>
              </w:rPr>
              <w:t>-12.31%</w:t>
            </w:r>
          </w:p>
        </w:tc>
        <w:tc>
          <w:tcPr>
            <w:tcW w:w="1217" w:type="dxa"/>
            <w:tcBorders>
              <w:top w:val="nil"/>
              <w:left w:val="single" w:sz="4" w:space="0" w:color="auto"/>
              <w:bottom w:val="single" w:sz="4" w:space="0" w:color="auto"/>
              <w:right w:val="single" w:sz="4" w:space="0" w:color="auto"/>
            </w:tcBorders>
            <w:shd w:val="clear" w:color="auto" w:fill="auto"/>
            <w:vAlign w:val="center"/>
          </w:tcPr>
          <w:p w:rsidR="00E2507D" w:rsidRPr="00FE4D0D" w:rsidP="00E2507D">
            <w:pPr>
              <w:autoSpaceDE/>
              <w:autoSpaceDN/>
              <w:adjustRightInd/>
              <w:spacing w:after="0"/>
              <w:jc w:val="right"/>
              <w:rPr>
                <w:rFonts w:eastAsia="Times New Roman" w:cs="Arial"/>
                <w:lang w:eastAsia="en-GB"/>
              </w:rPr>
            </w:pPr>
            <w:r w:rsidRPr="00FE4D0D">
              <w:rPr>
                <w:rFonts w:cs="Arial"/>
              </w:rPr>
              <w:t>-0.203</w:t>
            </w:r>
          </w:p>
        </w:tc>
      </w:tr>
      <w:tr w:rsidTr="00E2507D">
        <w:tblPrEx>
          <w:tblW w:w="9229" w:type="dxa"/>
          <w:tblInd w:w="-147" w:type="dxa"/>
          <w:tblLook w:val="04A0"/>
        </w:tblPrEx>
        <w:trPr>
          <w:trHeight w:val="775"/>
        </w:trPr>
        <w:tc>
          <w:tcPr>
            <w:tcW w:w="808" w:type="dxa"/>
            <w:tcBorders>
              <w:top w:val="nil"/>
              <w:left w:val="single" w:sz="4" w:space="0" w:color="auto"/>
              <w:bottom w:val="single" w:sz="4" w:space="0" w:color="auto"/>
              <w:right w:val="single" w:sz="4" w:space="0" w:color="auto"/>
            </w:tcBorders>
            <w:shd w:val="clear" w:color="000000" w:fill="D9D9D9"/>
            <w:hideMark/>
          </w:tcPr>
          <w:p w:rsidR="00E2507D" w:rsidRPr="001301AB" w:rsidP="00E2507D">
            <w:pPr>
              <w:autoSpaceDE/>
              <w:autoSpaceDN/>
              <w:adjustRightInd/>
              <w:spacing w:after="0"/>
              <w:jc w:val="center"/>
              <w:rPr>
                <w:rFonts w:eastAsia="Times New Roman" w:cs="Arial"/>
                <w:b/>
                <w:bCs/>
                <w:lang w:eastAsia="en-GB"/>
              </w:rPr>
            </w:pPr>
            <w:r w:rsidRPr="001301AB">
              <w:rPr>
                <w:rFonts w:eastAsia="Times New Roman" w:cs="Arial"/>
                <w:b/>
                <w:bCs/>
                <w:lang w:eastAsia="en-GB"/>
              </w:rPr>
              <w:t> </w:t>
            </w:r>
          </w:p>
        </w:tc>
        <w:tc>
          <w:tcPr>
            <w:tcW w:w="2337" w:type="dxa"/>
            <w:tcBorders>
              <w:top w:val="nil"/>
              <w:left w:val="nil"/>
              <w:bottom w:val="single" w:sz="4" w:space="0" w:color="auto"/>
              <w:right w:val="single" w:sz="4" w:space="0" w:color="auto"/>
            </w:tcBorders>
            <w:shd w:val="clear" w:color="000000" w:fill="D9D9D9"/>
            <w:vAlign w:val="center"/>
            <w:hideMark/>
          </w:tcPr>
          <w:p w:rsidR="00E2507D" w:rsidRPr="001301AB" w:rsidP="00E2507D">
            <w:pPr>
              <w:autoSpaceDE/>
              <w:autoSpaceDN/>
              <w:adjustRightInd/>
              <w:spacing w:after="0"/>
              <w:jc w:val="left"/>
              <w:rPr>
                <w:rFonts w:eastAsia="Times New Roman" w:cs="Arial"/>
                <w:b/>
                <w:bCs/>
                <w:lang w:eastAsia="en-GB"/>
              </w:rPr>
            </w:pPr>
            <w:r w:rsidRPr="001301AB">
              <w:rPr>
                <w:rFonts w:eastAsia="Times New Roman" w:cs="Arial"/>
                <w:b/>
                <w:bCs/>
                <w:lang w:eastAsia="en-GB"/>
              </w:rPr>
              <w:t>Total – Corporate Services</w:t>
            </w:r>
          </w:p>
        </w:tc>
        <w:tc>
          <w:tcPr>
            <w:tcW w:w="1337" w:type="dxa"/>
            <w:tcBorders>
              <w:top w:val="nil"/>
              <w:left w:val="single" w:sz="4" w:space="0" w:color="auto"/>
              <w:bottom w:val="single" w:sz="4" w:space="0" w:color="auto"/>
              <w:right w:val="single" w:sz="4" w:space="0" w:color="auto"/>
            </w:tcBorders>
            <w:shd w:val="clear" w:color="000000" w:fill="D9D9D9"/>
            <w:vAlign w:val="center"/>
          </w:tcPr>
          <w:p w:rsidR="00E2507D" w:rsidRPr="001301AB" w:rsidP="00E2507D">
            <w:pPr>
              <w:autoSpaceDE/>
              <w:autoSpaceDN/>
              <w:adjustRightInd/>
              <w:spacing w:after="0"/>
              <w:jc w:val="right"/>
              <w:rPr>
                <w:rFonts w:eastAsia="Times New Roman" w:cs="Arial"/>
                <w:b/>
                <w:bCs/>
                <w:lang w:eastAsia="en-GB"/>
              </w:rPr>
            </w:pPr>
            <w:r w:rsidRPr="001301AB">
              <w:rPr>
                <w:rFonts w:eastAsia="Times New Roman" w:cs="Arial"/>
                <w:b/>
                <w:bCs/>
                <w:lang w:eastAsia="en-GB"/>
              </w:rPr>
              <w:t>19.028</w:t>
            </w:r>
          </w:p>
        </w:tc>
        <w:tc>
          <w:tcPr>
            <w:tcW w:w="1096" w:type="dxa"/>
            <w:tcBorders>
              <w:top w:val="nil"/>
              <w:left w:val="nil"/>
              <w:bottom w:val="single" w:sz="4" w:space="0" w:color="auto"/>
              <w:right w:val="single" w:sz="4" w:space="0" w:color="auto"/>
            </w:tcBorders>
            <w:shd w:val="clear" w:color="000000" w:fill="D9D9D9"/>
            <w:vAlign w:val="center"/>
          </w:tcPr>
          <w:p w:rsidR="00E2507D" w:rsidRPr="00FE4D0D" w:rsidP="00E2507D">
            <w:pPr>
              <w:autoSpaceDE/>
              <w:autoSpaceDN/>
              <w:adjustRightInd/>
              <w:spacing w:after="0"/>
              <w:jc w:val="right"/>
              <w:rPr>
                <w:rFonts w:eastAsia="Times New Roman" w:cs="Arial"/>
                <w:b/>
                <w:bCs/>
                <w:lang w:eastAsia="en-GB"/>
              </w:rPr>
            </w:pPr>
            <w:r w:rsidRPr="00FE4D0D">
              <w:rPr>
                <w:rFonts w:cs="Arial"/>
                <w:b/>
                <w:bCs/>
              </w:rPr>
              <w:t>18.616</w:t>
            </w:r>
          </w:p>
        </w:tc>
        <w:tc>
          <w:tcPr>
            <w:tcW w:w="1217" w:type="dxa"/>
            <w:tcBorders>
              <w:top w:val="nil"/>
              <w:left w:val="nil"/>
              <w:bottom w:val="single" w:sz="4" w:space="0" w:color="auto"/>
              <w:right w:val="single" w:sz="4" w:space="0" w:color="auto"/>
            </w:tcBorders>
            <w:shd w:val="clear" w:color="000000" w:fill="D9D9D9"/>
            <w:vAlign w:val="center"/>
          </w:tcPr>
          <w:p w:rsidR="00E2507D" w:rsidRPr="00FE4D0D" w:rsidP="00E2507D">
            <w:pPr>
              <w:autoSpaceDE/>
              <w:autoSpaceDN/>
              <w:adjustRightInd/>
              <w:spacing w:after="0"/>
              <w:jc w:val="right"/>
              <w:rPr>
                <w:rFonts w:eastAsia="Times New Roman" w:cs="Arial"/>
                <w:b/>
                <w:bCs/>
                <w:lang w:eastAsia="en-GB"/>
              </w:rPr>
            </w:pPr>
            <w:r w:rsidRPr="00FE4D0D">
              <w:rPr>
                <w:rFonts w:cs="Arial"/>
                <w:b/>
                <w:bCs/>
              </w:rPr>
              <w:t>-0.412</w:t>
            </w:r>
          </w:p>
        </w:tc>
        <w:tc>
          <w:tcPr>
            <w:tcW w:w="1217" w:type="dxa"/>
            <w:tcBorders>
              <w:top w:val="nil"/>
              <w:left w:val="single" w:sz="4" w:space="0" w:color="auto"/>
              <w:bottom w:val="single" w:sz="4" w:space="0" w:color="auto"/>
              <w:right w:val="single" w:sz="4" w:space="0" w:color="auto"/>
            </w:tcBorders>
            <w:shd w:val="clear" w:color="000000" w:fill="D9D9D9"/>
            <w:vAlign w:val="center"/>
          </w:tcPr>
          <w:p w:rsidR="00E2507D" w:rsidRPr="00FE4D0D" w:rsidP="00E2507D">
            <w:pPr>
              <w:autoSpaceDE/>
              <w:autoSpaceDN/>
              <w:adjustRightInd/>
              <w:spacing w:after="0"/>
              <w:jc w:val="right"/>
              <w:rPr>
                <w:rFonts w:cs="Arial"/>
                <w:b/>
                <w:bCs/>
              </w:rPr>
            </w:pPr>
            <w:r w:rsidRPr="00FE4D0D">
              <w:rPr>
                <w:rFonts w:cs="Arial"/>
                <w:b/>
                <w:bCs/>
              </w:rPr>
              <w:t>2.17%</w:t>
            </w:r>
          </w:p>
        </w:tc>
        <w:tc>
          <w:tcPr>
            <w:tcW w:w="1217" w:type="dxa"/>
            <w:tcBorders>
              <w:top w:val="nil"/>
              <w:left w:val="single" w:sz="4" w:space="0" w:color="auto"/>
              <w:bottom w:val="single" w:sz="4" w:space="0" w:color="auto"/>
              <w:right w:val="single" w:sz="4" w:space="0" w:color="auto"/>
            </w:tcBorders>
            <w:shd w:val="clear" w:color="000000" w:fill="D9D9D9"/>
            <w:vAlign w:val="center"/>
          </w:tcPr>
          <w:p w:rsidR="00E2507D" w:rsidRPr="00FE4D0D" w:rsidP="00E2507D">
            <w:pPr>
              <w:autoSpaceDE/>
              <w:autoSpaceDN/>
              <w:adjustRightInd/>
              <w:spacing w:after="0"/>
              <w:jc w:val="right"/>
              <w:rPr>
                <w:rFonts w:eastAsia="Times New Roman" w:cs="Arial"/>
                <w:b/>
                <w:bCs/>
                <w:lang w:eastAsia="en-GB"/>
              </w:rPr>
            </w:pPr>
            <w:r w:rsidRPr="00FE4D0D">
              <w:rPr>
                <w:rFonts w:cs="Arial"/>
                <w:b/>
                <w:bCs/>
              </w:rPr>
              <w:t>0.011</w:t>
            </w:r>
          </w:p>
        </w:tc>
      </w:tr>
    </w:tbl>
    <w:p w:rsidR="00E2507D" w:rsidRPr="00506BBC" w:rsidP="00E2507D">
      <w:pPr>
        <w:autoSpaceDE/>
        <w:autoSpaceDN/>
        <w:adjustRightInd/>
        <w:spacing w:after="0"/>
        <w:jc w:val="left"/>
        <w:rPr>
          <w:b/>
          <w:highlight w:val="yellow"/>
        </w:rPr>
      </w:pPr>
    </w:p>
    <w:p w:rsidR="00E2507D" w:rsidRPr="007D4688" w:rsidP="00E2507D">
      <w:pPr>
        <w:spacing w:after="0"/>
        <w:rPr>
          <w:rFonts w:cs="Arial"/>
        </w:rPr>
      </w:pPr>
      <w:r w:rsidRPr="007D4688">
        <w:rPr>
          <w:rFonts w:cs="Arial"/>
        </w:rPr>
        <w:t>Corporate Services have underspent by £412,000 in 2019/20. The final outturn position has improved by £423,000 compared to the Quarter 3 position reported to Cabinet.</w:t>
      </w:r>
    </w:p>
    <w:p w:rsidR="00E2507D" w:rsidRPr="00506BBC" w:rsidP="00E2507D">
      <w:pPr>
        <w:tabs>
          <w:tab w:val="left" w:pos="851"/>
          <w:tab w:val="left" w:pos="1418"/>
        </w:tabs>
        <w:spacing w:after="0"/>
        <w:contextualSpacing/>
        <w:rPr>
          <w:rFonts w:cs="Arial"/>
          <w:highlight w:val="yellow"/>
        </w:rPr>
      </w:pPr>
    </w:p>
    <w:p w:rsidR="00E2507D" w:rsidP="00E2507D">
      <w:pPr>
        <w:spacing w:after="0"/>
        <w:rPr>
          <w:rFonts w:cs="Arial"/>
          <w:color w:val="auto"/>
        </w:rPr>
      </w:pPr>
      <w:r w:rsidRPr="00552426">
        <w:rPr>
          <w:rFonts w:cs="Arial"/>
          <w:b/>
        </w:rPr>
        <w:t>3.8.1 Coroner's Service</w:t>
      </w:r>
      <w:r w:rsidRPr="00713DE3">
        <w:rPr>
          <w:rFonts w:cs="Arial"/>
        </w:rPr>
        <w:t xml:space="preserve"> </w:t>
      </w:r>
      <w:r w:rsidRPr="007D4688">
        <w:rPr>
          <w:rFonts w:cs="Arial"/>
        </w:rPr>
        <w:t xml:space="preserve">has underspent by £111,000 in 2019/20. </w:t>
      </w:r>
      <w:r w:rsidRPr="007D4688">
        <w:rPr>
          <w:rFonts w:cs="Arial"/>
          <w:color w:val="auto"/>
        </w:rPr>
        <w:t xml:space="preserve">The main reason is due to an underspend on mortuary storage costs of £208,000 offset </w:t>
      </w:r>
      <w:r>
        <w:rPr>
          <w:rFonts w:cs="Arial"/>
          <w:color w:val="auto"/>
        </w:rPr>
        <w:t xml:space="preserve"> small overspends for</w:t>
      </w:r>
      <w:r w:rsidRPr="007D4688">
        <w:rPr>
          <w:rFonts w:cs="Arial"/>
          <w:color w:val="auto"/>
        </w:rPr>
        <w:t xml:space="preserve"> funeral directors hire o</w:t>
      </w:r>
      <w:r>
        <w:rPr>
          <w:rFonts w:cs="Arial"/>
          <w:color w:val="auto"/>
        </w:rPr>
        <w:t>f transport</w:t>
      </w:r>
      <w:r w:rsidRPr="007D4688">
        <w:rPr>
          <w:rFonts w:cs="Arial"/>
          <w:color w:val="auto"/>
        </w:rPr>
        <w:t xml:space="preserve">, toxicology </w:t>
      </w:r>
      <w:r>
        <w:rPr>
          <w:rFonts w:cs="Arial"/>
          <w:color w:val="auto"/>
        </w:rPr>
        <w:t>and unachieved income.</w:t>
      </w:r>
    </w:p>
    <w:p w:rsidR="00E2507D" w:rsidRPr="00713DE3" w:rsidP="00E2507D">
      <w:pPr>
        <w:spacing w:after="0"/>
        <w:rPr>
          <w:rFonts w:cs="Arial"/>
          <w:color w:val="auto"/>
        </w:rPr>
      </w:pPr>
    </w:p>
    <w:p w:rsidR="00E2507D" w:rsidRPr="007D4688" w:rsidP="00E2507D">
      <w:pPr>
        <w:spacing w:after="0"/>
        <w:rPr>
          <w:rFonts w:cs="Arial"/>
        </w:rPr>
      </w:pPr>
      <w:r w:rsidRPr="00552426">
        <w:rPr>
          <w:rFonts w:cs="Arial"/>
          <w:b/>
        </w:rPr>
        <w:t>3.8.2 Human Resources</w:t>
      </w:r>
      <w:r w:rsidRPr="007D4688">
        <w:rPr>
          <w:rFonts w:cs="Arial"/>
        </w:rPr>
        <w:t xml:space="preserve"> has underspent by £247,000 in 2019/20. There are underspends relating to Trade Union expenditure, the overachievement of Schools HR income, an underspend on employee costs due to vacancies and an underspend on supplies and services. These have been partially </w:t>
      </w:r>
      <w:r>
        <w:rPr>
          <w:rFonts w:cs="Arial"/>
        </w:rPr>
        <w:t xml:space="preserve">offset by a small </w:t>
      </w:r>
      <w:r w:rsidRPr="007D4688">
        <w:rPr>
          <w:rFonts w:cs="Arial"/>
        </w:rPr>
        <w:t>overspend on records management.</w:t>
      </w:r>
    </w:p>
    <w:p w:rsidR="00E2507D" w:rsidRPr="00506BBC" w:rsidP="00E2507D">
      <w:pPr>
        <w:tabs>
          <w:tab w:val="left" w:pos="851"/>
          <w:tab w:val="left" w:pos="1418"/>
        </w:tabs>
        <w:spacing w:after="0"/>
        <w:rPr>
          <w:rFonts w:cs="Arial"/>
          <w:highlight w:val="yellow"/>
        </w:rPr>
      </w:pPr>
    </w:p>
    <w:p w:rsidR="00E2507D" w:rsidP="00E2507D">
      <w:pPr>
        <w:tabs>
          <w:tab w:val="left" w:pos="851"/>
          <w:tab w:val="left" w:pos="1418"/>
        </w:tabs>
        <w:spacing w:after="0"/>
        <w:rPr>
          <w:rFonts w:cs="Arial"/>
        </w:rPr>
      </w:pPr>
      <w:r w:rsidRPr="00552426">
        <w:rPr>
          <w:rFonts w:cs="Arial"/>
          <w:b/>
        </w:rPr>
        <w:t>3.8.3 Legal Governance and Registrars</w:t>
      </w:r>
      <w:r w:rsidRPr="004B10FC">
        <w:rPr>
          <w:rFonts w:cs="Arial"/>
        </w:rPr>
        <w:t xml:space="preserve"> has overspent by </w:t>
      </w:r>
      <w:r>
        <w:rPr>
          <w:rFonts w:cs="Arial"/>
        </w:rPr>
        <w:t>£286</w:t>
      </w:r>
      <w:r w:rsidRPr="004B10FC">
        <w:rPr>
          <w:rFonts w:cs="Arial"/>
        </w:rPr>
        <w:t xml:space="preserve">,000 in 2019/20 </w:t>
      </w:r>
      <w:r w:rsidRPr="00164D16">
        <w:rPr>
          <w:rFonts w:cs="Arial"/>
        </w:rPr>
        <w:t xml:space="preserve">due to an overspend in legal of £559,000 offset by overachievement of income in registrars £274,000.  </w:t>
      </w:r>
    </w:p>
    <w:p w:rsidR="00E2507D" w:rsidRPr="00506BBC" w:rsidP="00E2507D">
      <w:pPr>
        <w:tabs>
          <w:tab w:val="left" w:pos="851"/>
          <w:tab w:val="left" w:pos="1418"/>
        </w:tabs>
        <w:spacing w:after="0"/>
        <w:rPr>
          <w:rFonts w:cs="Arial"/>
          <w:highlight w:val="yellow"/>
        </w:rPr>
      </w:pPr>
    </w:p>
    <w:p w:rsidR="00E2507D" w:rsidP="00E2507D">
      <w:pPr>
        <w:rPr>
          <w:rFonts w:cs="Arial"/>
        </w:rPr>
      </w:pPr>
      <w:r w:rsidRPr="00552426">
        <w:rPr>
          <w:rFonts w:cs="Arial"/>
          <w:b/>
        </w:rPr>
        <w:t>3.8.4 Skills, Learning and Developmen</w:t>
      </w:r>
      <w:r w:rsidRPr="00827F58">
        <w:rPr>
          <w:rFonts w:cs="Arial"/>
          <w:b/>
          <w:i/>
        </w:rPr>
        <w:t>t</w:t>
      </w:r>
      <w:r w:rsidRPr="00827F58">
        <w:rPr>
          <w:rFonts w:cs="Arial"/>
        </w:rPr>
        <w:t xml:space="preserve"> has underspent by £340,000 in 2019/20 mainly due to reduced costs within </w:t>
      </w:r>
      <w:r>
        <w:rPr>
          <w:rFonts w:cs="Arial"/>
        </w:rPr>
        <w:t xml:space="preserve">training and supplies and service </w:t>
      </w:r>
      <w:r w:rsidRPr="00827F58">
        <w:rPr>
          <w:rFonts w:cs="Arial"/>
        </w:rPr>
        <w:t xml:space="preserve">budgets. </w:t>
      </w:r>
    </w:p>
    <w:p w:rsidR="00E2507D" w:rsidRPr="00FF7FAE" w:rsidP="00E2507D">
      <w:pPr>
        <w:autoSpaceDE/>
        <w:autoSpaceDN/>
        <w:adjustRightInd/>
        <w:spacing w:after="0"/>
        <w:jc w:val="left"/>
        <w:rPr>
          <w:rFonts w:cs="Arial"/>
        </w:rPr>
      </w:pPr>
      <w:r w:rsidRPr="00FF7FAE">
        <w:rPr>
          <w:rFonts w:eastAsia="Times New Roman" w:cs="Arial"/>
          <w:b/>
          <w:lang w:eastAsia="en-GB"/>
        </w:rPr>
        <w:t>3.9</w:t>
      </w:r>
      <w:r w:rsidRPr="00FF7FAE">
        <w:rPr>
          <w:rFonts w:eastAsia="Times New Roman" w:cs="Arial"/>
          <w:b/>
          <w:lang w:eastAsia="en-GB"/>
        </w:rPr>
        <w:tab/>
      </w:r>
      <w:r w:rsidRPr="00FF7FAE">
        <w:rPr>
          <w:rFonts w:cs="Arial"/>
          <w:b/>
        </w:rPr>
        <w:t xml:space="preserve">Strategy and Performance </w:t>
      </w:r>
    </w:p>
    <w:p w:rsidR="00E2507D" w:rsidRPr="00FF7FAE" w:rsidP="00E2507D">
      <w:pPr>
        <w:autoSpaceDE/>
        <w:autoSpaceDN/>
        <w:adjustRightInd/>
        <w:spacing w:after="0"/>
        <w:jc w:val="left"/>
        <w:rPr>
          <w:b/>
        </w:rPr>
      </w:pPr>
    </w:p>
    <w:tbl>
      <w:tblPr>
        <w:tblW w:w="9231" w:type="dxa"/>
        <w:tblInd w:w="-147" w:type="dxa"/>
        <w:tblLook w:val="04A0"/>
      </w:tblPr>
      <w:tblGrid>
        <w:gridCol w:w="807"/>
        <w:gridCol w:w="2340"/>
        <w:gridCol w:w="1337"/>
        <w:gridCol w:w="1096"/>
        <w:gridCol w:w="1217"/>
        <w:gridCol w:w="1217"/>
        <w:gridCol w:w="1217"/>
      </w:tblGrid>
      <w:tr w:rsidTr="00E2507D">
        <w:tblPrEx>
          <w:tblW w:w="9231" w:type="dxa"/>
          <w:tblInd w:w="-147" w:type="dxa"/>
          <w:tblLook w:val="04A0"/>
        </w:tblPrEx>
        <w:trPr>
          <w:trHeight w:val="693"/>
        </w:trPr>
        <w:tc>
          <w:tcPr>
            <w:tcW w:w="807" w:type="dxa"/>
            <w:tcBorders>
              <w:top w:val="single" w:sz="4" w:space="0" w:color="auto"/>
              <w:left w:val="single" w:sz="4" w:space="0" w:color="auto"/>
              <w:bottom w:val="nil"/>
              <w:right w:val="single" w:sz="4" w:space="0" w:color="auto"/>
            </w:tcBorders>
            <w:shd w:val="clear" w:color="000000" w:fill="D9D9D9"/>
            <w:vAlign w:val="center"/>
            <w:hideMark/>
          </w:tcPr>
          <w:p w:rsidR="00E2507D" w:rsidRPr="00FF7FAE" w:rsidP="00E2507D">
            <w:pPr>
              <w:autoSpaceDE/>
              <w:autoSpaceDN/>
              <w:adjustRightInd/>
              <w:spacing w:after="0"/>
              <w:jc w:val="center"/>
              <w:rPr>
                <w:rFonts w:eastAsia="Times New Roman" w:cs="Arial"/>
                <w:b/>
                <w:bCs/>
                <w:lang w:eastAsia="en-GB"/>
              </w:rPr>
            </w:pPr>
            <w:r w:rsidRPr="00FF7FAE">
              <w:rPr>
                <w:rFonts w:eastAsia="Times New Roman" w:cs="Arial"/>
                <w:b/>
                <w:bCs/>
                <w:lang w:eastAsia="en-GB"/>
              </w:rPr>
              <w:t>Ref</w:t>
            </w:r>
          </w:p>
        </w:tc>
        <w:tc>
          <w:tcPr>
            <w:tcW w:w="2340" w:type="dxa"/>
            <w:tcBorders>
              <w:top w:val="single" w:sz="4" w:space="0" w:color="auto"/>
              <w:left w:val="nil"/>
              <w:bottom w:val="nil"/>
              <w:right w:val="single" w:sz="4" w:space="0" w:color="auto"/>
            </w:tcBorders>
            <w:shd w:val="clear" w:color="000000" w:fill="D9D9D9"/>
            <w:vAlign w:val="center"/>
            <w:hideMark/>
          </w:tcPr>
          <w:p w:rsidR="00E2507D" w:rsidRPr="00FF7FAE" w:rsidP="00E2507D">
            <w:pPr>
              <w:autoSpaceDE/>
              <w:autoSpaceDN/>
              <w:adjustRightInd/>
              <w:spacing w:after="0"/>
              <w:jc w:val="center"/>
              <w:rPr>
                <w:rFonts w:eastAsia="Times New Roman" w:cs="Arial"/>
                <w:b/>
                <w:bCs/>
                <w:lang w:eastAsia="en-GB"/>
              </w:rPr>
            </w:pPr>
            <w:r w:rsidRPr="00FF7FAE">
              <w:rPr>
                <w:rFonts w:eastAsia="Times New Roman" w:cs="Arial"/>
                <w:b/>
                <w:bCs/>
                <w:lang w:eastAsia="en-GB"/>
              </w:rPr>
              <w:t>Head of Service</w:t>
            </w:r>
          </w:p>
        </w:tc>
        <w:tc>
          <w:tcPr>
            <w:tcW w:w="1337" w:type="dxa"/>
            <w:tcBorders>
              <w:top w:val="single" w:sz="4" w:space="0" w:color="auto"/>
              <w:left w:val="nil"/>
              <w:bottom w:val="nil"/>
              <w:right w:val="single" w:sz="4" w:space="0" w:color="auto"/>
            </w:tcBorders>
            <w:shd w:val="clear" w:color="000000" w:fill="D9D9D9"/>
            <w:vAlign w:val="center"/>
            <w:hideMark/>
          </w:tcPr>
          <w:p w:rsidR="00E2507D" w:rsidRPr="00FF7FAE" w:rsidP="00E2507D">
            <w:pPr>
              <w:autoSpaceDE/>
              <w:autoSpaceDN/>
              <w:adjustRightInd/>
              <w:spacing w:after="0"/>
              <w:jc w:val="center"/>
              <w:rPr>
                <w:rFonts w:eastAsia="Times New Roman" w:cs="Arial"/>
                <w:b/>
                <w:bCs/>
                <w:lang w:eastAsia="en-GB"/>
              </w:rPr>
            </w:pPr>
            <w:r w:rsidRPr="00FF7FAE">
              <w:rPr>
                <w:rFonts w:eastAsia="Times New Roman" w:cs="Arial"/>
                <w:b/>
                <w:bCs/>
                <w:lang w:eastAsia="en-GB"/>
              </w:rPr>
              <w:t>Approved Budget</w:t>
            </w:r>
          </w:p>
        </w:tc>
        <w:tc>
          <w:tcPr>
            <w:tcW w:w="1096" w:type="dxa"/>
            <w:tcBorders>
              <w:top w:val="single" w:sz="4" w:space="0" w:color="auto"/>
              <w:left w:val="nil"/>
              <w:bottom w:val="nil"/>
              <w:right w:val="single" w:sz="4" w:space="0" w:color="auto"/>
            </w:tcBorders>
            <w:shd w:val="clear" w:color="000000" w:fill="D9D9D9"/>
            <w:vAlign w:val="center"/>
            <w:hideMark/>
          </w:tcPr>
          <w:p w:rsidR="00E2507D" w:rsidRPr="00FF7FAE" w:rsidP="00E2507D">
            <w:pPr>
              <w:autoSpaceDE/>
              <w:autoSpaceDN/>
              <w:adjustRightInd/>
              <w:spacing w:after="0"/>
              <w:jc w:val="center"/>
              <w:rPr>
                <w:rFonts w:eastAsia="Times New Roman" w:cs="Arial"/>
                <w:b/>
                <w:bCs/>
                <w:lang w:eastAsia="en-GB"/>
              </w:rPr>
            </w:pPr>
            <w:r w:rsidRPr="00FF7FAE">
              <w:rPr>
                <w:rFonts w:eastAsia="Times New Roman" w:cs="Arial"/>
                <w:b/>
                <w:bCs/>
                <w:lang w:eastAsia="en-GB"/>
              </w:rPr>
              <w:t>Outturn</w:t>
            </w:r>
          </w:p>
        </w:tc>
        <w:tc>
          <w:tcPr>
            <w:tcW w:w="1217" w:type="dxa"/>
            <w:tcBorders>
              <w:top w:val="single" w:sz="4" w:space="0" w:color="auto"/>
              <w:left w:val="nil"/>
              <w:bottom w:val="nil"/>
              <w:right w:val="single" w:sz="4" w:space="0" w:color="auto"/>
            </w:tcBorders>
            <w:shd w:val="clear" w:color="000000" w:fill="D9D9D9"/>
            <w:vAlign w:val="center"/>
            <w:hideMark/>
          </w:tcPr>
          <w:p w:rsidR="00E2507D" w:rsidRPr="00FF7FAE" w:rsidP="00E2507D">
            <w:pPr>
              <w:autoSpaceDE/>
              <w:autoSpaceDN/>
              <w:adjustRightInd/>
              <w:spacing w:after="0"/>
              <w:jc w:val="center"/>
              <w:rPr>
                <w:rFonts w:eastAsia="Times New Roman" w:cs="Arial"/>
                <w:b/>
                <w:bCs/>
                <w:lang w:eastAsia="en-GB"/>
              </w:rPr>
            </w:pPr>
            <w:r w:rsidRPr="00FF7FAE">
              <w:rPr>
                <w:rFonts w:eastAsia="Times New Roman" w:cs="Arial"/>
                <w:b/>
                <w:bCs/>
                <w:lang w:eastAsia="en-GB"/>
              </w:rPr>
              <w:t>Outturn Variance</w:t>
            </w:r>
          </w:p>
        </w:tc>
        <w:tc>
          <w:tcPr>
            <w:tcW w:w="1217" w:type="dxa"/>
            <w:tcBorders>
              <w:top w:val="single" w:sz="4" w:space="0" w:color="auto"/>
              <w:left w:val="nil"/>
              <w:bottom w:val="nil"/>
              <w:right w:val="single" w:sz="4" w:space="0" w:color="auto"/>
            </w:tcBorders>
            <w:shd w:val="clear" w:color="000000" w:fill="D9D9D9"/>
            <w:vAlign w:val="center"/>
          </w:tcPr>
          <w:p w:rsidR="00E2507D" w:rsidRPr="00FF7FAE" w:rsidP="00E2507D">
            <w:pPr>
              <w:autoSpaceDE/>
              <w:autoSpaceDN/>
              <w:adjustRightInd/>
              <w:spacing w:after="0"/>
              <w:jc w:val="center"/>
              <w:rPr>
                <w:rFonts w:eastAsia="Times New Roman" w:cs="Arial"/>
                <w:b/>
                <w:bCs/>
                <w:lang w:eastAsia="en-GB"/>
              </w:rPr>
            </w:pPr>
            <w:r w:rsidRPr="00FF7FAE">
              <w:rPr>
                <w:rFonts w:eastAsia="Times New Roman" w:cs="Arial"/>
                <w:b/>
                <w:bCs/>
                <w:lang w:eastAsia="en-GB"/>
              </w:rPr>
              <w:t>Outturn Variance</w:t>
            </w:r>
          </w:p>
        </w:tc>
        <w:tc>
          <w:tcPr>
            <w:tcW w:w="1217" w:type="dxa"/>
            <w:tcBorders>
              <w:top w:val="single" w:sz="4" w:space="0" w:color="auto"/>
              <w:left w:val="single" w:sz="4" w:space="0" w:color="auto"/>
              <w:bottom w:val="nil"/>
              <w:right w:val="single" w:sz="4" w:space="0" w:color="auto"/>
            </w:tcBorders>
            <w:shd w:val="clear" w:color="000000" w:fill="D9D9D9"/>
            <w:vAlign w:val="center"/>
            <w:hideMark/>
          </w:tcPr>
          <w:p w:rsidR="00E2507D" w:rsidRPr="00FF7FAE" w:rsidP="00E2507D">
            <w:pPr>
              <w:autoSpaceDE/>
              <w:autoSpaceDN/>
              <w:adjustRightInd/>
              <w:spacing w:after="0"/>
              <w:jc w:val="center"/>
              <w:rPr>
                <w:rFonts w:eastAsia="Times New Roman" w:cs="Arial"/>
                <w:b/>
                <w:bCs/>
                <w:lang w:eastAsia="en-GB"/>
              </w:rPr>
            </w:pPr>
            <w:r w:rsidRPr="00FF7FAE">
              <w:rPr>
                <w:rFonts w:eastAsia="Times New Roman" w:cs="Arial"/>
                <w:b/>
                <w:bCs/>
                <w:lang w:eastAsia="en-GB"/>
              </w:rPr>
              <w:t>Quarter 3 Forecast Variance</w:t>
            </w:r>
          </w:p>
        </w:tc>
      </w:tr>
      <w:tr w:rsidTr="00E2507D">
        <w:tblPrEx>
          <w:tblW w:w="9231" w:type="dxa"/>
          <w:tblInd w:w="-147" w:type="dxa"/>
          <w:tblLook w:val="04A0"/>
        </w:tblPrEx>
        <w:trPr>
          <w:trHeight w:val="340"/>
        </w:trPr>
        <w:tc>
          <w:tcPr>
            <w:tcW w:w="807" w:type="dxa"/>
            <w:tcBorders>
              <w:top w:val="nil"/>
              <w:left w:val="single" w:sz="4" w:space="0" w:color="auto"/>
              <w:bottom w:val="single" w:sz="4" w:space="0" w:color="auto"/>
              <w:right w:val="single" w:sz="4" w:space="0" w:color="auto"/>
            </w:tcBorders>
            <w:shd w:val="clear" w:color="000000" w:fill="D9D9D9"/>
            <w:vAlign w:val="bottom"/>
            <w:hideMark/>
          </w:tcPr>
          <w:p w:rsidR="00E2507D" w:rsidRPr="00FF7FAE" w:rsidP="00E2507D">
            <w:pPr>
              <w:autoSpaceDE/>
              <w:autoSpaceDN/>
              <w:adjustRightInd/>
              <w:spacing w:after="0"/>
              <w:jc w:val="center"/>
              <w:rPr>
                <w:rFonts w:eastAsia="Times New Roman" w:cs="Arial"/>
                <w:b/>
                <w:bCs/>
                <w:lang w:eastAsia="en-GB"/>
              </w:rPr>
            </w:pPr>
            <w:r w:rsidRPr="00FF7FAE">
              <w:rPr>
                <w:rFonts w:eastAsia="Times New Roman" w:cs="Arial"/>
                <w:b/>
                <w:bCs/>
                <w:lang w:eastAsia="en-GB"/>
              </w:rPr>
              <w:t> </w:t>
            </w:r>
          </w:p>
        </w:tc>
        <w:tc>
          <w:tcPr>
            <w:tcW w:w="2340" w:type="dxa"/>
            <w:tcBorders>
              <w:top w:val="nil"/>
              <w:left w:val="nil"/>
              <w:bottom w:val="single" w:sz="4" w:space="0" w:color="auto"/>
              <w:right w:val="single" w:sz="4" w:space="0" w:color="auto"/>
            </w:tcBorders>
            <w:shd w:val="clear" w:color="000000" w:fill="D9D9D9"/>
            <w:vAlign w:val="bottom"/>
            <w:hideMark/>
          </w:tcPr>
          <w:p w:rsidR="00E2507D" w:rsidRPr="00FF7FAE" w:rsidP="00E2507D">
            <w:pPr>
              <w:autoSpaceDE/>
              <w:autoSpaceDN/>
              <w:adjustRightInd/>
              <w:spacing w:after="0"/>
              <w:jc w:val="center"/>
              <w:rPr>
                <w:rFonts w:eastAsia="Times New Roman" w:cs="Arial"/>
                <w:b/>
                <w:bCs/>
                <w:lang w:eastAsia="en-GB"/>
              </w:rPr>
            </w:pPr>
            <w:r w:rsidRPr="00FF7FAE">
              <w:rPr>
                <w:rFonts w:eastAsia="Times New Roman" w:cs="Arial"/>
                <w:b/>
                <w:bCs/>
                <w:lang w:eastAsia="en-GB"/>
              </w:rPr>
              <w:t> </w:t>
            </w:r>
          </w:p>
        </w:tc>
        <w:tc>
          <w:tcPr>
            <w:tcW w:w="1337" w:type="dxa"/>
            <w:tcBorders>
              <w:top w:val="nil"/>
              <w:left w:val="nil"/>
              <w:bottom w:val="single" w:sz="4" w:space="0" w:color="auto"/>
              <w:right w:val="single" w:sz="4" w:space="0" w:color="auto"/>
            </w:tcBorders>
            <w:shd w:val="clear" w:color="000000" w:fill="D9D9D9"/>
            <w:vAlign w:val="bottom"/>
            <w:hideMark/>
          </w:tcPr>
          <w:p w:rsidR="00E2507D" w:rsidRPr="00FF7FAE" w:rsidP="00E2507D">
            <w:pPr>
              <w:autoSpaceDE/>
              <w:autoSpaceDN/>
              <w:adjustRightInd/>
              <w:spacing w:after="0"/>
              <w:jc w:val="center"/>
              <w:rPr>
                <w:rFonts w:eastAsia="Times New Roman" w:cs="Arial"/>
                <w:b/>
                <w:bCs/>
                <w:lang w:eastAsia="en-GB"/>
              </w:rPr>
            </w:pPr>
            <w:r w:rsidRPr="00FF7FAE">
              <w:rPr>
                <w:rFonts w:eastAsia="Times New Roman" w:cs="Arial"/>
                <w:b/>
                <w:bCs/>
                <w:lang w:eastAsia="en-GB"/>
              </w:rPr>
              <w:t xml:space="preserve"> £m </w:t>
            </w:r>
          </w:p>
        </w:tc>
        <w:tc>
          <w:tcPr>
            <w:tcW w:w="1096" w:type="dxa"/>
            <w:tcBorders>
              <w:top w:val="nil"/>
              <w:left w:val="nil"/>
              <w:bottom w:val="single" w:sz="4" w:space="0" w:color="auto"/>
              <w:right w:val="single" w:sz="4" w:space="0" w:color="auto"/>
            </w:tcBorders>
            <w:shd w:val="clear" w:color="000000" w:fill="D9D9D9"/>
            <w:vAlign w:val="bottom"/>
            <w:hideMark/>
          </w:tcPr>
          <w:p w:rsidR="00E2507D" w:rsidRPr="00FF7FAE" w:rsidP="00E2507D">
            <w:pPr>
              <w:autoSpaceDE/>
              <w:autoSpaceDN/>
              <w:adjustRightInd/>
              <w:spacing w:after="0"/>
              <w:jc w:val="center"/>
              <w:rPr>
                <w:rFonts w:eastAsia="Times New Roman" w:cs="Arial"/>
                <w:b/>
                <w:bCs/>
                <w:lang w:eastAsia="en-GB"/>
              </w:rPr>
            </w:pPr>
            <w:r w:rsidRPr="00FF7FAE">
              <w:rPr>
                <w:rFonts w:eastAsia="Times New Roman" w:cs="Arial"/>
                <w:b/>
                <w:bCs/>
                <w:lang w:eastAsia="en-GB"/>
              </w:rPr>
              <w:t xml:space="preserve"> £m </w:t>
            </w:r>
          </w:p>
        </w:tc>
        <w:tc>
          <w:tcPr>
            <w:tcW w:w="1217" w:type="dxa"/>
            <w:tcBorders>
              <w:top w:val="nil"/>
              <w:left w:val="nil"/>
              <w:bottom w:val="single" w:sz="4" w:space="0" w:color="auto"/>
              <w:right w:val="single" w:sz="4" w:space="0" w:color="auto"/>
            </w:tcBorders>
            <w:shd w:val="clear" w:color="000000" w:fill="D9D9D9"/>
            <w:vAlign w:val="bottom"/>
            <w:hideMark/>
          </w:tcPr>
          <w:p w:rsidR="00E2507D" w:rsidRPr="00FF7FAE" w:rsidP="00E2507D">
            <w:pPr>
              <w:autoSpaceDE/>
              <w:autoSpaceDN/>
              <w:adjustRightInd/>
              <w:spacing w:after="0"/>
              <w:jc w:val="center"/>
              <w:rPr>
                <w:rFonts w:eastAsia="Times New Roman" w:cs="Arial"/>
                <w:b/>
                <w:bCs/>
                <w:lang w:eastAsia="en-GB"/>
              </w:rPr>
            </w:pPr>
            <w:r w:rsidRPr="00FF7FAE">
              <w:rPr>
                <w:rFonts w:eastAsia="Times New Roman" w:cs="Arial"/>
                <w:b/>
                <w:bCs/>
                <w:lang w:eastAsia="en-GB"/>
              </w:rPr>
              <w:t xml:space="preserve"> £m </w:t>
            </w:r>
          </w:p>
        </w:tc>
        <w:tc>
          <w:tcPr>
            <w:tcW w:w="1217" w:type="dxa"/>
            <w:tcBorders>
              <w:top w:val="nil"/>
              <w:left w:val="nil"/>
              <w:bottom w:val="single" w:sz="4" w:space="0" w:color="auto"/>
              <w:right w:val="single" w:sz="4" w:space="0" w:color="auto"/>
            </w:tcBorders>
            <w:shd w:val="clear" w:color="000000" w:fill="D9D9D9"/>
            <w:vAlign w:val="bottom"/>
          </w:tcPr>
          <w:p w:rsidR="00E2507D" w:rsidRPr="00FF7FAE" w:rsidP="00E2507D">
            <w:pPr>
              <w:autoSpaceDE/>
              <w:autoSpaceDN/>
              <w:adjustRightInd/>
              <w:spacing w:after="0"/>
              <w:jc w:val="center"/>
              <w:rPr>
                <w:rFonts w:eastAsia="Times New Roman" w:cs="Arial"/>
                <w:b/>
                <w:bCs/>
                <w:lang w:eastAsia="en-GB"/>
              </w:rPr>
            </w:pPr>
            <w:r w:rsidRPr="00FF7FAE">
              <w:rPr>
                <w:rFonts w:eastAsia="Times New Roman" w:cs="Arial"/>
                <w:b/>
                <w:bCs/>
                <w:lang w:eastAsia="en-GB"/>
              </w:rPr>
              <w:t>%</w:t>
            </w:r>
          </w:p>
        </w:tc>
        <w:tc>
          <w:tcPr>
            <w:tcW w:w="1217" w:type="dxa"/>
            <w:tcBorders>
              <w:top w:val="nil"/>
              <w:left w:val="single" w:sz="4" w:space="0" w:color="auto"/>
              <w:bottom w:val="single" w:sz="4" w:space="0" w:color="auto"/>
              <w:right w:val="single" w:sz="4" w:space="0" w:color="auto"/>
            </w:tcBorders>
            <w:shd w:val="clear" w:color="000000" w:fill="D9D9D9"/>
            <w:vAlign w:val="bottom"/>
            <w:hideMark/>
          </w:tcPr>
          <w:p w:rsidR="00E2507D" w:rsidRPr="00FF7FAE" w:rsidP="00E2507D">
            <w:pPr>
              <w:autoSpaceDE/>
              <w:autoSpaceDN/>
              <w:adjustRightInd/>
              <w:spacing w:after="0"/>
              <w:jc w:val="center"/>
              <w:rPr>
                <w:rFonts w:eastAsia="Times New Roman" w:cs="Arial"/>
                <w:b/>
                <w:bCs/>
                <w:lang w:eastAsia="en-GB"/>
              </w:rPr>
            </w:pPr>
            <w:r w:rsidRPr="00FF7FAE">
              <w:rPr>
                <w:rFonts w:eastAsia="Times New Roman" w:cs="Arial"/>
                <w:b/>
                <w:bCs/>
                <w:lang w:eastAsia="en-GB"/>
              </w:rPr>
              <w:t xml:space="preserve"> £m </w:t>
            </w:r>
          </w:p>
        </w:tc>
      </w:tr>
      <w:tr w:rsidTr="00E2507D">
        <w:tblPrEx>
          <w:tblW w:w="9231" w:type="dxa"/>
          <w:tblInd w:w="-147" w:type="dxa"/>
          <w:tblLook w:val="04A0"/>
        </w:tblPrEx>
        <w:trPr>
          <w:trHeight w:val="506"/>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E2507D" w:rsidRPr="00422120" w:rsidP="00E2507D">
            <w:pPr>
              <w:autoSpaceDE/>
              <w:autoSpaceDN/>
              <w:adjustRightInd/>
              <w:spacing w:after="0"/>
              <w:jc w:val="center"/>
              <w:rPr>
                <w:rFonts w:eastAsia="Times New Roman" w:cs="Arial"/>
                <w:b/>
                <w:bCs/>
                <w:lang w:eastAsia="en-GB"/>
              </w:rPr>
            </w:pPr>
            <w:r w:rsidRPr="00422120">
              <w:rPr>
                <w:rFonts w:eastAsia="Times New Roman" w:cs="Arial"/>
                <w:b/>
                <w:bCs/>
                <w:lang w:eastAsia="en-GB"/>
              </w:rPr>
              <w:t>3.9.1</w:t>
            </w:r>
          </w:p>
        </w:tc>
        <w:tc>
          <w:tcPr>
            <w:tcW w:w="2340" w:type="dxa"/>
            <w:tcBorders>
              <w:top w:val="nil"/>
              <w:left w:val="nil"/>
              <w:bottom w:val="single" w:sz="4" w:space="0" w:color="auto"/>
              <w:right w:val="single" w:sz="4" w:space="0" w:color="auto"/>
            </w:tcBorders>
            <w:shd w:val="clear" w:color="auto" w:fill="auto"/>
            <w:vAlign w:val="center"/>
            <w:hideMark/>
          </w:tcPr>
          <w:p w:rsidR="00E2507D" w:rsidRPr="00422120" w:rsidP="00E2507D">
            <w:pPr>
              <w:autoSpaceDE/>
              <w:autoSpaceDN/>
              <w:adjustRightInd/>
              <w:spacing w:after="0"/>
              <w:jc w:val="left"/>
              <w:rPr>
                <w:rFonts w:eastAsia="Times New Roman" w:cs="Arial"/>
                <w:lang w:eastAsia="en-GB"/>
              </w:rPr>
            </w:pPr>
            <w:r w:rsidRPr="00422120">
              <w:rPr>
                <w:rFonts w:eastAsia="Times New Roman" w:cs="Arial"/>
                <w:lang w:eastAsia="en-GB"/>
              </w:rPr>
              <w:t>Asset Management</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2507D" w:rsidRPr="00422120" w:rsidP="00E2507D">
            <w:pPr>
              <w:autoSpaceDE/>
              <w:autoSpaceDN/>
              <w:adjustRightInd/>
              <w:spacing w:after="0"/>
              <w:jc w:val="right"/>
              <w:rPr>
                <w:rFonts w:eastAsia="Times New Roman" w:cs="Arial"/>
                <w:highlight w:val="yellow"/>
                <w:lang w:eastAsia="en-GB"/>
              </w:rPr>
            </w:pPr>
            <w:r w:rsidRPr="00422120">
              <w:rPr>
                <w:rFonts w:eastAsia="Times New Roman" w:cs="Arial"/>
                <w:lang w:eastAsia="en-GB"/>
              </w:rPr>
              <w:t>6.884</w:t>
            </w:r>
          </w:p>
        </w:tc>
        <w:tc>
          <w:tcPr>
            <w:tcW w:w="1096" w:type="dxa"/>
            <w:tcBorders>
              <w:top w:val="single" w:sz="4" w:space="0" w:color="auto"/>
              <w:left w:val="nil"/>
              <w:bottom w:val="single" w:sz="4" w:space="0" w:color="auto"/>
              <w:right w:val="single" w:sz="4" w:space="0" w:color="auto"/>
            </w:tcBorders>
            <w:shd w:val="clear" w:color="auto" w:fill="auto"/>
            <w:vAlign w:val="center"/>
          </w:tcPr>
          <w:p w:rsidR="00E2507D" w:rsidRPr="004D2E08" w:rsidP="00E2507D">
            <w:pPr>
              <w:autoSpaceDE/>
              <w:autoSpaceDN/>
              <w:adjustRightInd/>
              <w:spacing w:after="0"/>
              <w:jc w:val="right"/>
              <w:rPr>
                <w:rFonts w:eastAsia="Times New Roman" w:cs="Arial"/>
                <w:lang w:eastAsia="en-GB"/>
              </w:rPr>
            </w:pPr>
            <w:r w:rsidRPr="004D2E08">
              <w:rPr>
                <w:rFonts w:cs="Arial"/>
              </w:rPr>
              <w:t>6.705</w:t>
            </w:r>
          </w:p>
        </w:tc>
        <w:tc>
          <w:tcPr>
            <w:tcW w:w="1217" w:type="dxa"/>
            <w:tcBorders>
              <w:top w:val="single" w:sz="4" w:space="0" w:color="auto"/>
              <w:left w:val="nil"/>
              <w:bottom w:val="single" w:sz="4" w:space="0" w:color="auto"/>
              <w:right w:val="single" w:sz="4" w:space="0" w:color="auto"/>
            </w:tcBorders>
            <w:shd w:val="clear" w:color="000000" w:fill="D9D9D9"/>
            <w:vAlign w:val="center"/>
          </w:tcPr>
          <w:p w:rsidR="00E2507D" w:rsidRPr="004D2E08" w:rsidP="00E2507D">
            <w:pPr>
              <w:autoSpaceDE/>
              <w:autoSpaceDN/>
              <w:adjustRightInd/>
              <w:spacing w:after="0"/>
              <w:jc w:val="right"/>
              <w:rPr>
                <w:rFonts w:eastAsia="Times New Roman" w:cs="Arial"/>
                <w:lang w:eastAsia="en-GB"/>
              </w:rPr>
            </w:pPr>
            <w:r w:rsidRPr="004D2E08">
              <w:rPr>
                <w:rFonts w:cs="Arial"/>
              </w:rPr>
              <w:t>-0.179</w:t>
            </w:r>
          </w:p>
        </w:tc>
        <w:tc>
          <w:tcPr>
            <w:tcW w:w="1217" w:type="dxa"/>
            <w:tcBorders>
              <w:top w:val="single" w:sz="4" w:space="0" w:color="auto"/>
              <w:left w:val="single" w:sz="4" w:space="0" w:color="auto"/>
              <w:bottom w:val="single" w:sz="4" w:space="0" w:color="auto"/>
              <w:right w:val="single" w:sz="4" w:space="0" w:color="auto"/>
            </w:tcBorders>
            <w:vAlign w:val="center"/>
          </w:tcPr>
          <w:p w:rsidR="00E2507D" w:rsidRPr="004D2E08" w:rsidP="00E2507D">
            <w:pPr>
              <w:autoSpaceDE/>
              <w:autoSpaceDN/>
              <w:adjustRightInd/>
              <w:spacing w:after="0"/>
              <w:jc w:val="right"/>
              <w:rPr>
                <w:rFonts w:cs="Arial"/>
              </w:rPr>
            </w:pPr>
            <w:r w:rsidRPr="004D2E08">
              <w:rPr>
                <w:rFonts w:cs="Arial"/>
              </w:rPr>
              <w:t>-2.6%</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E2507D" w:rsidRPr="004D2E08" w:rsidP="00E2507D">
            <w:pPr>
              <w:autoSpaceDE/>
              <w:autoSpaceDN/>
              <w:adjustRightInd/>
              <w:spacing w:after="0"/>
              <w:jc w:val="right"/>
              <w:rPr>
                <w:rFonts w:eastAsia="Times New Roman" w:cs="Arial"/>
                <w:lang w:eastAsia="en-GB"/>
              </w:rPr>
            </w:pPr>
            <w:r w:rsidRPr="004D2E08">
              <w:rPr>
                <w:rFonts w:cs="Arial"/>
              </w:rPr>
              <w:t>-0.331</w:t>
            </w:r>
          </w:p>
        </w:tc>
      </w:tr>
      <w:tr w:rsidTr="00E2507D">
        <w:tblPrEx>
          <w:tblW w:w="9231" w:type="dxa"/>
          <w:tblInd w:w="-147" w:type="dxa"/>
          <w:tblLook w:val="04A0"/>
        </w:tblPrEx>
        <w:trPr>
          <w:trHeight w:val="506"/>
        </w:trPr>
        <w:tc>
          <w:tcPr>
            <w:tcW w:w="807" w:type="dxa"/>
            <w:tcBorders>
              <w:top w:val="nil"/>
              <w:left w:val="single" w:sz="4" w:space="0" w:color="auto"/>
              <w:bottom w:val="single" w:sz="4" w:space="0" w:color="auto"/>
              <w:right w:val="single" w:sz="4" w:space="0" w:color="auto"/>
            </w:tcBorders>
            <w:shd w:val="clear" w:color="000000" w:fill="FFFFFF"/>
            <w:vAlign w:val="center"/>
            <w:hideMark/>
          </w:tcPr>
          <w:p w:rsidR="00E2507D" w:rsidRPr="00422120" w:rsidP="00E2507D">
            <w:pPr>
              <w:autoSpaceDE/>
              <w:autoSpaceDN/>
              <w:adjustRightInd/>
              <w:spacing w:after="0"/>
              <w:jc w:val="center"/>
              <w:rPr>
                <w:rFonts w:eastAsia="Times New Roman" w:cs="Arial"/>
                <w:b/>
                <w:bCs/>
                <w:lang w:eastAsia="en-GB"/>
              </w:rPr>
            </w:pPr>
            <w:r w:rsidRPr="00422120">
              <w:rPr>
                <w:rFonts w:eastAsia="Times New Roman" w:cs="Arial"/>
                <w:b/>
                <w:bCs/>
                <w:lang w:eastAsia="en-GB"/>
              </w:rPr>
              <w:t>3.9.2</w:t>
            </w:r>
          </w:p>
        </w:tc>
        <w:tc>
          <w:tcPr>
            <w:tcW w:w="2340" w:type="dxa"/>
            <w:tcBorders>
              <w:top w:val="nil"/>
              <w:left w:val="nil"/>
              <w:bottom w:val="single" w:sz="4" w:space="0" w:color="auto"/>
              <w:right w:val="single" w:sz="4" w:space="0" w:color="auto"/>
            </w:tcBorders>
            <w:shd w:val="clear" w:color="000000" w:fill="FFFFFF"/>
            <w:vAlign w:val="center"/>
            <w:hideMark/>
          </w:tcPr>
          <w:p w:rsidR="00E2507D" w:rsidRPr="00422120" w:rsidP="00E2507D">
            <w:pPr>
              <w:autoSpaceDE/>
              <w:autoSpaceDN/>
              <w:adjustRightInd/>
              <w:spacing w:after="0"/>
              <w:jc w:val="left"/>
              <w:rPr>
                <w:rFonts w:eastAsia="Times New Roman" w:cs="Arial"/>
                <w:lang w:eastAsia="en-GB"/>
              </w:rPr>
            </w:pPr>
            <w:r w:rsidRPr="00422120">
              <w:rPr>
                <w:rFonts w:eastAsia="Times New Roman" w:cs="Arial"/>
                <w:lang w:eastAsia="en-GB"/>
              </w:rPr>
              <w:t>Facilities Management</w:t>
            </w:r>
          </w:p>
        </w:tc>
        <w:tc>
          <w:tcPr>
            <w:tcW w:w="1337" w:type="dxa"/>
            <w:tcBorders>
              <w:top w:val="nil"/>
              <w:left w:val="single" w:sz="4" w:space="0" w:color="auto"/>
              <w:bottom w:val="single" w:sz="4" w:space="0" w:color="auto"/>
              <w:right w:val="single" w:sz="4" w:space="0" w:color="auto"/>
            </w:tcBorders>
            <w:shd w:val="clear" w:color="auto" w:fill="auto"/>
            <w:vAlign w:val="center"/>
          </w:tcPr>
          <w:p w:rsidR="00E2507D" w:rsidRPr="00422120" w:rsidP="00E2507D">
            <w:pPr>
              <w:autoSpaceDE/>
              <w:autoSpaceDN/>
              <w:adjustRightInd/>
              <w:spacing w:after="0"/>
              <w:jc w:val="right"/>
              <w:rPr>
                <w:rFonts w:eastAsia="Times New Roman" w:cs="Arial"/>
                <w:highlight w:val="yellow"/>
                <w:lang w:eastAsia="en-GB"/>
              </w:rPr>
            </w:pPr>
            <w:r w:rsidRPr="00422120">
              <w:rPr>
                <w:rFonts w:eastAsia="Times New Roman" w:cs="Arial"/>
                <w:lang w:eastAsia="en-GB"/>
              </w:rPr>
              <w:t>17.375</w:t>
            </w:r>
          </w:p>
        </w:tc>
        <w:tc>
          <w:tcPr>
            <w:tcW w:w="1096" w:type="dxa"/>
            <w:tcBorders>
              <w:top w:val="nil"/>
              <w:left w:val="nil"/>
              <w:bottom w:val="single" w:sz="4" w:space="0" w:color="auto"/>
              <w:right w:val="single" w:sz="4" w:space="0" w:color="auto"/>
            </w:tcBorders>
            <w:shd w:val="clear" w:color="auto" w:fill="auto"/>
            <w:vAlign w:val="center"/>
          </w:tcPr>
          <w:p w:rsidR="00E2507D" w:rsidRPr="004D2E08" w:rsidP="00E2507D">
            <w:pPr>
              <w:autoSpaceDE/>
              <w:autoSpaceDN/>
              <w:adjustRightInd/>
              <w:spacing w:after="0"/>
              <w:jc w:val="right"/>
              <w:rPr>
                <w:rFonts w:eastAsia="Times New Roman" w:cs="Arial"/>
                <w:lang w:eastAsia="en-GB"/>
              </w:rPr>
            </w:pPr>
            <w:r w:rsidRPr="004D2E08">
              <w:rPr>
                <w:rFonts w:cs="Arial"/>
              </w:rPr>
              <w:t>20.039</w:t>
            </w:r>
          </w:p>
        </w:tc>
        <w:tc>
          <w:tcPr>
            <w:tcW w:w="1217" w:type="dxa"/>
            <w:tcBorders>
              <w:top w:val="nil"/>
              <w:left w:val="nil"/>
              <w:bottom w:val="single" w:sz="4" w:space="0" w:color="auto"/>
              <w:right w:val="single" w:sz="4" w:space="0" w:color="auto"/>
            </w:tcBorders>
            <w:shd w:val="clear" w:color="000000" w:fill="D9D9D9"/>
            <w:vAlign w:val="center"/>
          </w:tcPr>
          <w:p w:rsidR="00E2507D" w:rsidRPr="004D2E08" w:rsidP="00E2507D">
            <w:pPr>
              <w:autoSpaceDE/>
              <w:autoSpaceDN/>
              <w:adjustRightInd/>
              <w:spacing w:after="0"/>
              <w:jc w:val="right"/>
              <w:rPr>
                <w:rFonts w:eastAsia="Times New Roman" w:cs="Arial"/>
                <w:lang w:eastAsia="en-GB"/>
              </w:rPr>
            </w:pPr>
            <w:r w:rsidRPr="004D2E08">
              <w:rPr>
                <w:rFonts w:cs="Arial"/>
              </w:rPr>
              <w:t>2.664</w:t>
            </w:r>
          </w:p>
        </w:tc>
        <w:tc>
          <w:tcPr>
            <w:tcW w:w="1217" w:type="dxa"/>
            <w:tcBorders>
              <w:top w:val="nil"/>
              <w:left w:val="single" w:sz="4" w:space="0" w:color="auto"/>
              <w:bottom w:val="single" w:sz="4" w:space="0" w:color="auto"/>
              <w:right w:val="single" w:sz="4" w:space="0" w:color="auto"/>
            </w:tcBorders>
            <w:vAlign w:val="center"/>
          </w:tcPr>
          <w:p w:rsidR="00E2507D" w:rsidRPr="004D2E08" w:rsidP="00E2507D">
            <w:pPr>
              <w:autoSpaceDE/>
              <w:autoSpaceDN/>
              <w:adjustRightInd/>
              <w:spacing w:after="0"/>
              <w:jc w:val="right"/>
              <w:rPr>
                <w:rFonts w:cs="Arial"/>
              </w:rPr>
            </w:pPr>
            <w:r w:rsidRPr="004D2E08">
              <w:rPr>
                <w:rFonts w:cs="Arial"/>
              </w:rPr>
              <w:t>15.33%</w:t>
            </w:r>
          </w:p>
        </w:tc>
        <w:tc>
          <w:tcPr>
            <w:tcW w:w="1217" w:type="dxa"/>
            <w:tcBorders>
              <w:top w:val="nil"/>
              <w:left w:val="single" w:sz="4" w:space="0" w:color="auto"/>
              <w:bottom w:val="single" w:sz="4" w:space="0" w:color="auto"/>
              <w:right w:val="single" w:sz="4" w:space="0" w:color="auto"/>
            </w:tcBorders>
            <w:shd w:val="clear" w:color="auto" w:fill="auto"/>
            <w:vAlign w:val="center"/>
          </w:tcPr>
          <w:p w:rsidR="00E2507D" w:rsidRPr="004D2E08" w:rsidP="00E2507D">
            <w:pPr>
              <w:autoSpaceDE/>
              <w:autoSpaceDN/>
              <w:adjustRightInd/>
              <w:spacing w:after="0"/>
              <w:jc w:val="right"/>
              <w:rPr>
                <w:rFonts w:eastAsia="Times New Roman" w:cs="Arial"/>
                <w:lang w:eastAsia="en-GB"/>
              </w:rPr>
            </w:pPr>
            <w:r w:rsidRPr="004D2E08">
              <w:rPr>
                <w:rFonts w:cs="Arial"/>
              </w:rPr>
              <w:t>1.281</w:t>
            </w:r>
          </w:p>
        </w:tc>
      </w:tr>
      <w:tr w:rsidTr="00E2507D">
        <w:tblPrEx>
          <w:tblW w:w="9231" w:type="dxa"/>
          <w:tblInd w:w="-147" w:type="dxa"/>
          <w:tblLook w:val="04A0"/>
        </w:tblPrEx>
        <w:trPr>
          <w:trHeight w:val="506"/>
        </w:trPr>
        <w:tc>
          <w:tcPr>
            <w:tcW w:w="807" w:type="dxa"/>
            <w:tcBorders>
              <w:top w:val="nil"/>
              <w:left w:val="single" w:sz="4" w:space="0" w:color="auto"/>
              <w:bottom w:val="single" w:sz="4" w:space="0" w:color="auto"/>
              <w:right w:val="single" w:sz="4" w:space="0" w:color="auto"/>
            </w:tcBorders>
            <w:shd w:val="clear" w:color="000000" w:fill="FFFFFF"/>
            <w:vAlign w:val="center"/>
            <w:hideMark/>
          </w:tcPr>
          <w:p w:rsidR="00E2507D" w:rsidRPr="00422120" w:rsidP="00E2507D">
            <w:pPr>
              <w:autoSpaceDE/>
              <w:autoSpaceDN/>
              <w:adjustRightInd/>
              <w:spacing w:after="0"/>
              <w:jc w:val="center"/>
              <w:rPr>
                <w:rFonts w:eastAsia="Times New Roman" w:cs="Arial"/>
                <w:b/>
                <w:bCs/>
                <w:lang w:eastAsia="en-GB"/>
              </w:rPr>
            </w:pPr>
            <w:r w:rsidRPr="00422120">
              <w:rPr>
                <w:rFonts w:eastAsia="Times New Roman" w:cs="Arial"/>
                <w:b/>
                <w:bCs/>
                <w:lang w:eastAsia="en-GB"/>
              </w:rPr>
              <w:t>3.9.3</w:t>
            </w:r>
          </w:p>
        </w:tc>
        <w:tc>
          <w:tcPr>
            <w:tcW w:w="2340" w:type="dxa"/>
            <w:tcBorders>
              <w:top w:val="nil"/>
              <w:left w:val="nil"/>
              <w:bottom w:val="single" w:sz="4" w:space="0" w:color="auto"/>
              <w:right w:val="single" w:sz="4" w:space="0" w:color="auto"/>
            </w:tcBorders>
            <w:shd w:val="clear" w:color="000000" w:fill="FFFFFF"/>
            <w:vAlign w:val="center"/>
            <w:hideMark/>
          </w:tcPr>
          <w:p w:rsidR="00E2507D" w:rsidRPr="00422120" w:rsidP="00E2507D">
            <w:pPr>
              <w:autoSpaceDE/>
              <w:autoSpaceDN/>
              <w:adjustRightInd/>
              <w:spacing w:after="0"/>
              <w:jc w:val="left"/>
              <w:rPr>
                <w:rFonts w:eastAsia="Times New Roman" w:cs="Arial"/>
                <w:lang w:eastAsia="en-GB"/>
              </w:rPr>
            </w:pPr>
            <w:r w:rsidRPr="00422120">
              <w:rPr>
                <w:rFonts w:eastAsia="Times New Roman" w:cs="Arial"/>
                <w:lang w:eastAsia="en-GB"/>
              </w:rPr>
              <w:t>Core Systems and Business Support</w:t>
            </w:r>
          </w:p>
        </w:tc>
        <w:tc>
          <w:tcPr>
            <w:tcW w:w="1337" w:type="dxa"/>
            <w:tcBorders>
              <w:top w:val="nil"/>
              <w:left w:val="single" w:sz="4" w:space="0" w:color="auto"/>
              <w:bottom w:val="single" w:sz="4" w:space="0" w:color="auto"/>
              <w:right w:val="single" w:sz="4" w:space="0" w:color="auto"/>
            </w:tcBorders>
            <w:shd w:val="clear" w:color="auto" w:fill="auto"/>
            <w:vAlign w:val="center"/>
          </w:tcPr>
          <w:p w:rsidR="00E2507D" w:rsidRPr="00422120" w:rsidP="00E2507D">
            <w:pPr>
              <w:autoSpaceDE/>
              <w:autoSpaceDN/>
              <w:adjustRightInd/>
              <w:spacing w:after="0"/>
              <w:jc w:val="right"/>
              <w:rPr>
                <w:rFonts w:eastAsia="Times New Roman" w:cs="Arial"/>
                <w:highlight w:val="yellow"/>
                <w:lang w:eastAsia="en-GB"/>
              </w:rPr>
            </w:pPr>
            <w:r w:rsidRPr="00422120">
              <w:rPr>
                <w:rFonts w:eastAsia="Times New Roman" w:cs="Arial"/>
                <w:lang w:eastAsia="en-GB"/>
              </w:rPr>
              <w:t>3.894</w:t>
            </w:r>
          </w:p>
        </w:tc>
        <w:tc>
          <w:tcPr>
            <w:tcW w:w="1096" w:type="dxa"/>
            <w:tcBorders>
              <w:top w:val="nil"/>
              <w:left w:val="nil"/>
              <w:bottom w:val="single" w:sz="4" w:space="0" w:color="auto"/>
              <w:right w:val="single" w:sz="4" w:space="0" w:color="auto"/>
            </w:tcBorders>
            <w:shd w:val="clear" w:color="auto" w:fill="auto"/>
            <w:vAlign w:val="center"/>
          </w:tcPr>
          <w:p w:rsidR="00E2507D" w:rsidRPr="004D2E08" w:rsidP="00E2507D">
            <w:pPr>
              <w:autoSpaceDE/>
              <w:autoSpaceDN/>
              <w:adjustRightInd/>
              <w:spacing w:after="0"/>
              <w:jc w:val="right"/>
              <w:rPr>
                <w:rFonts w:eastAsia="Times New Roman" w:cs="Arial"/>
                <w:lang w:eastAsia="en-GB"/>
              </w:rPr>
            </w:pPr>
            <w:r w:rsidRPr="004D2E08">
              <w:rPr>
                <w:rFonts w:cs="Arial"/>
              </w:rPr>
              <w:t>4.046</w:t>
            </w:r>
          </w:p>
        </w:tc>
        <w:tc>
          <w:tcPr>
            <w:tcW w:w="1217" w:type="dxa"/>
            <w:tcBorders>
              <w:top w:val="nil"/>
              <w:left w:val="nil"/>
              <w:bottom w:val="single" w:sz="4" w:space="0" w:color="auto"/>
              <w:right w:val="single" w:sz="4" w:space="0" w:color="auto"/>
            </w:tcBorders>
            <w:shd w:val="clear" w:color="000000" w:fill="D9D9D9"/>
            <w:vAlign w:val="center"/>
          </w:tcPr>
          <w:p w:rsidR="00E2507D" w:rsidRPr="004D2E08" w:rsidP="00E2507D">
            <w:pPr>
              <w:autoSpaceDE/>
              <w:autoSpaceDN/>
              <w:adjustRightInd/>
              <w:spacing w:after="0"/>
              <w:jc w:val="right"/>
              <w:rPr>
                <w:rFonts w:eastAsia="Times New Roman" w:cs="Arial"/>
                <w:lang w:eastAsia="en-GB"/>
              </w:rPr>
            </w:pPr>
            <w:r w:rsidRPr="004D2E08">
              <w:rPr>
                <w:rFonts w:cs="Arial"/>
              </w:rPr>
              <w:t>0.152</w:t>
            </w:r>
          </w:p>
        </w:tc>
        <w:tc>
          <w:tcPr>
            <w:tcW w:w="1217" w:type="dxa"/>
            <w:tcBorders>
              <w:top w:val="nil"/>
              <w:left w:val="single" w:sz="4" w:space="0" w:color="auto"/>
              <w:bottom w:val="single" w:sz="4" w:space="0" w:color="auto"/>
              <w:right w:val="single" w:sz="4" w:space="0" w:color="auto"/>
            </w:tcBorders>
            <w:vAlign w:val="center"/>
          </w:tcPr>
          <w:p w:rsidR="00E2507D" w:rsidRPr="004D2E08" w:rsidP="00E2507D">
            <w:pPr>
              <w:autoSpaceDE/>
              <w:autoSpaceDN/>
              <w:adjustRightInd/>
              <w:spacing w:after="0"/>
              <w:jc w:val="right"/>
              <w:rPr>
                <w:rFonts w:cs="Arial"/>
              </w:rPr>
            </w:pPr>
            <w:r w:rsidRPr="004D2E08">
              <w:rPr>
                <w:rFonts w:cs="Arial"/>
              </w:rPr>
              <w:t>3.90%</w:t>
            </w:r>
          </w:p>
        </w:tc>
        <w:tc>
          <w:tcPr>
            <w:tcW w:w="1217" w:type="dxa"/>
            <w:tcBorders>
              <w:top w:val="nil"/>
              <w:left w:val="single" w:sz="4" w:space="0" w:color="auto"/>
              <w:bottom w:val="single" w:sz="4" w:space="0" w:color="auto"/>
              <w:right w:val="single" w:sz="4" w:space="0" w:color="auto"/>
            </w:tcBorders>
            <w:shd w:val="clear" w:color="auto" w:fill="auto"/>
            <w:vAlign w:val="center"/>
          </w:tcPr>
          <w:p w:rsidR="00E2507D" w:rsidRPr="004D2E08" w:rsidP="00E2507D">
            <w:pPr>
              <w:autoSpaceDE/>
              <w:autoSpaceDN/>
              <w:adjustRightInd/>
              <w:spacing w:after="0"/>
              <w:jc w:val="right"/>
              <w:rPr>
                <w:rFonts w:eastAsia="Times New Roman" w:cs="Arial"/>
                <w:lang w:eastAsia="en-GB"/>
              </w:rPr>
            </w:pPr>
            <w:r w:rsidRPr="004D2E08">
              <w:rPr>
                <w:rFonts w:cs="Arial"/>
              </w:rPr>
              <w:t>0.099</w:t>
            </w:r>
          </w:p>
        </w:tc>
      </w:tr>
      <w:tr w:rsidTr="00E2507D">
        <w:tblPrEx>
          <w:tblW w:w="9231" w:type="dxa"/>
          <w:tblInd w:w="-147" w:type="dxa"/>
          <w:tblLook w:val="04A0"/>
        </w:tblPrEx>
        <w:trPr>
          <w:trHeight w:val="506"/>
        </w:trPr>
        <w:tc>
          <w:tcPr>
            <w:tcW w:w="807" w:type="dxa"/>
            <w:tcBorders>
              <w:top w:val="nil"/>
              <w:left w:val="single" w:sz="4" w:space="0" w:color="auto"/>
              <w:bottom w:val="single" w:sz="4" w:space="0" w:color="auto"/>
              <w:right w:val="single" w:sz="4" w:space="0" w:color="auto"/>
            </w:tcBorders>
            <w:shd w:val="clear" w:color="000000" w:fill="FFFFFF"/>
            <w:vAlign w:val="center"/>
            <w:hideMark/>
          </w:tcPr>
          <w:p w:rsidR="00E2507D" w:rsidRPr="00422120" w:rsidP="00E2507D">
            <w:pPr>
              <w:autoSpaceDE/>
              <w:autoSpaceDN/>
              <w:adjustRightInd/>
              <w:spacing w:after="0"/>
              <w:jc w:val="center"/>
              <w:rPr>
                <w:rFonts w:eastAsia="Times New Roman" w:cs="Arial"/>
                <w:b/>
                <w:bCs/>
                <w:lang w:eastAsia="en-GB"/>
              </w:rPr>
            </w:pPr>
            <w:r w:rsidRPr="00422120">
              <w:rPr>
                <w:rFonts w:eastAsia="Times New Roman" w:cs="Arial"/>
                <w:b/>
                <w:bCs/>
                <w:lang w:eastAsia="en-GB"/>
              </w:rPr>
              <w:t>3.9.4</w:t>
            </w:r>
          </w:p>
        </w:tc>
        <w:tc>
          <w:tcPr>
            <w:tcW w:w="2340" w:type="dxa"/>
            <w:tcBorders>
              <w:top w:val="nil"/>
              <w:left w:val="nil"/>
              <w:bottom w:val="single" w:sz="4" w:space="0" w:color="auto"/>
              <w:right w:val="single" w:sz="4" w:space="0" w:color="auto"/>
            </w:tcBorders>
            <w:shd w:val="clear" w:color="000000" w:fill="FFFFFF"/>
            <w:vAlign w:val="center"/>
          </w:tcPr>
          <w:p w:rsidR="00E2507D" w:rsidRPr="00422120" w:rsidP="00E2507D">
            <w:pPr>
              <w:autoSpaceDE/>
              <w:autoSpaceDN/>
              <w:adjustRightInd/>
              <w:spacing w:after="0"/>
              <w:jc w:val="left"/>
              <w:rPr>
                <w:rFonts w:eastAsia="Times New Roman" w:cs="Arial"/>
                <w:lang w:eastAsia="en-GB"/>
              </w:rPr>
            </w:pPr>
            <w:r w:rsidRPr="00422120">
              <w:rPr>
                <w:rFonts w:eastAsia="Times New Roman" w:cs="Arial"/>
                <w:lang w:eastAsia="en-GB"/>
              </w:rPr>
              <w:t>Programme Office</w:t>
            </w:r>
          </w:p>
        </w:tc>
        <w:tc>
          <w:tcPr>
            <w:tcW w:w="1337" w:type="dxa"/>
            <w:tcBorders>
              <w:top w:val="nil"/>
              <w:left w:val="single" w:sz="4" w:space="0" w:color="auto"/>
              <w:bottom w:val="single" w:sz="4" w:space="0" w:color="auto"/>
              <w:right w:val="single" w:sz="4" w:space="0" w:color="auto"/>
            </w:tcBorders>
            <w:shd w:val="clear" w:color="auto" w:fill="auto"/>
            <w:vAlign w:val="center"/>
          </w:tcPr>
          <w:p w:rsidR="00E2507D" w:rsidRPr="00422120" w:rsidP="00E2507D">
            <w:pPr>
              <w:autoSpaceDE/>
              <w:autoSpaceDN/>
              <w:adjustRightInd/>
              <w:spacing w:after="0"/>
              <w:jc w:val="right"/>
              <w:rPr>
                <w:rFonts w:eastAsia="Times New Roman" w:cs="Arial"/>
                <w:highlight w:val="yellow"/>
                <w:lang w:eastAsia="en-GB"/>
              </w:rPr>
            </w:pPr>
            <w:r w:rsidRPr="00422120">
              <w:rPr>
                <w:rFonts w:eastAsia="Times New Roman" w:cs="Arial"/>
                <w:lang w:eastAsia="en-GB"/>
              </w:rPr>
              <w:t>1.628</w:t>
            </w:r>
          </w:p>
        </w:tc>
        <w:tc>
          <w:tcPr>
            <w:tcW w:w="1096" w:type="dxa"/>
            <w:tcBorders>
              <w:top w:val="nil"/>
              <w:left w:val="nil"/>
              <w:bottom w:val="single" w:sz="4" w:space="0" w:color="auto"/>
              <w:right w:val="single" w:sz="4" w:space="0" w:color="auto"/>
            </w:tcBorders>
            <w:shd w:val="clear" w:color="auto" w:fill="auto"/>
            <w:vAlign w:val="center"/>
          </w:tcPr>
          <w:p w:rsidR="00E2507D" w:rsidRPr="004D2E08" w:rsidP="00E2507D">
            <w:pPr>
              <w:autoSpaceDE/>
              <w:autoSpaceDN/>
              <w:adjustRightInd/>
              <w:spacing w:after="0"/>
              <w:jc w:val="right"/>
              <w:rPr>
                <w:rFonts w:eastAsia="Times New Roman" w:cs="Arial"/>
                <w:lang w:eastAsia="en-GB"/>
              </w:rPr>
            </w:pPr>
            <w:r w:rsidRPr="004D2E08">
              <w:rPr>
                <w:rFonts w:cs="Arial"/>
              </w:rPr>
              <w:t>1.562</w:t>
            </w:r>
          </w:p>
        </w:tc>
        <w:tc>
          <w:tcPr>
            <w:tcW w:w="1217" w:type="dxa"/>
            <w:tcBorders>
              <w:top w:val="nil"/>
              <w:left w:val="nil"/>
              <w:bottom w:val="single" w:sz="4" w:space="0" w:color="auto"/>
              <w:right w:val="single" w:sz="4" w:space="0" w:color="auto"/>
            </w:tcBorders>
            <w:shd w:val="clear" w:color="000000" w:fill="D9D9D9"/>
            <w:vAlign w:val="center"/>
          </w:tcPr>
          <w:p w:rsidR="00E2507D" w:rsidRPr="004D2E08" w:rsidP="00E2507D">
            <w:pPr>
              <w:autoSpaceDE/>
              <w:autoSpaceDN/>
              <w:adjustRightInd/>
              <w:spacing w:after="0"/>
              <w:jc w:val="right"/>
              <w:rPr>
                <w:rFonts w:eastAsia="Times New Roman" w:cs="Arial"/>
                <w:lang w:eastAsia="en-GB"/>
              </w:rPr>
            </w:pPr>
            <w:r w:rsidRPr="004D2E08">
              <w:rPr>
                <w:rFonts w:cs="Arial"/>
              </w:rPr>
              <w:t>-0.066</w:t>
            </w:r>
          </w:p>
        </w:tc>
        <w:tc>
          <w:tcPr>
            <w:tcW w:w="1217" w:type="dxa"/>
            <w:tcBorders>
              <w:top w:val="nil"/>
              <w:left w:val="single" w:sz="4" w:space="0" w:color="auto"/>
              <w:bottom w:val="single" w:sz="4" w:space="0" w:color="auto"/>
              <w:right w:val="single" w:sz="4" w:space="0" w:color="auto"/>
            </w:tcBorders>
            <w:vAlign w:val="center"/>
          </w:tcPr>
          <w:p w:rsidR="00E2507D" w:rsidRPr="004D2E08" w:rsidP="00E2507D">
            <w:pPr>
              <w:autoSpaceDE/>
              <w:autoSpaceDN/>
              <w:adjustRightInd/>
              <w:spacing w:after="0"/>
              <w:jc w:val="right"/>
              <w:rPr>
                <w:rFonts w:cs="Arial"/>
              </w:rPr>
            </w:pPr>
            <w:r w:rsidRPr="004D2E08">
              <w:rPr>
                <w:rFonts w:cs="Arial"/>
              </w:rPr>
              <w:t>-4.05%</w:t>
            </w:r>
          </w:p>
        </w:tc>
        <w:tc>
          <w:tcPr>
            <w:tcW w:w="1217" w:type="dxa"/>
            <w:tcBorders>
              <w:top w:val="nil"/>
              <w:left w:val="single" w:sz="4" w:space="0" w:color="auto"/>
              <w:bottom w:val="single" w:sz="4" w:space="0" w:color="auto"/>
              <w:right w:val="single" w:sz="4" w:space="0" w:color="auto"/>
            </w:tcBorders>
            <w:shd w:val="clear" w:color="auto" w:fill="auto"/>
            <w:vAlign w:val="center"/>
          </w:tcPr>
          <w:p w:rsidR="00E2507D" w:rsidRPr="004D2E08" w:rsidP="00E2507D">
            <w:pPr>
              <w:autoSpaceDE/>
              <w:autoSpaceDN/>
              <w:adjustRightInd/>
              <w:spacing w:after="0"/>
              <w:jc w:val="right"/>
              <w:rPr>
                <w:rFonts w:eastAsia="Times New Roman" w:cs="Arial"/>
                <w:lang w:eastAsia="en-GB"/>
              </w:rPr>
            </w:pPr>
            <w:r w:rsidRPr="004D2E08">
              <w:rPr>
                <w:rFonts w:cs="Arial"/>
              </w:rPr>
              <w:t>-0.029</w:t>
            </w:r>
          </w:p>
        </w:tc>
      </w:tr>
      <w:tr w:rsidTr="00E2507D">
        <w:tblPrEx>
          <w:tblW w:w="9231" w:type="dxa"/>
          <w:tblInd w:w="-147" w:type="dxa"/>
          <w:tblLook w:val="04A0"/>
        </w:tblPrEx>
        <w:trPr>
          <w:trHeight w:val="506"/>
        </w:trPr>
        <w:tc>
          <w:tcPr>
            <w:tcW w:w="807" w:type="dxa"/>
            <w:tcBorders>
              <w:top w:val="nil"/>
              <w:left w:val="single" w:sz="4" w:space="0" w:color="auto"/>
              <w:bottom w:val="single" w:sz="4" w:space="0" w:color="auto"/>
              <w:right w:val="single" w:sz="4" w:space="0" w:color="auto"/>
            </w:tcBorders>
            <w:shd w:val="clear" w:color="000000" w:fill="FFFFFF"/>
            <w:vAlign w:val="center"/>
            <w:hideMark/>
          </w:tcPr>
          <w:p w:rsidR="00E2507D" w:rsidRPr="00422120" w:rsidP="00E2507D">
            <w:pPr>
              <w:autoSpaceDE/>
              <w:autoSpaceDN/>
              <w:adjustRightInd/>
              <w:spacing w:after="0"/>
              <w:jc w:val="center"/>
              <w:rPr>
                <w:rFonts w:eastAsia="Times New Roman" w:cs="Arial"/>
                <w:b/>
                <w:bCs/>
                <w:lang w:eastAsia="en-GB"/>
              </w:rPr>
            </w:pPr>
            <w:r w:rsidRPr="00422120">
              <w:rPr>
                <w:rFonts w:eastAsia="Times New Roman" w:cs="Arial"/>
                <w:b/>
                <w:bCs/>
                <w:lang w:eastAsia="en-GB"/>
              </w:rPr>
              <w:t>3.9.5</w:t>
            </w:r>
          </w:p>
        </w:tc>
        <w:tc>
          <w:tcPr>
            <w:tcW w:w="2340" w:type="dxa"/>
            <w:tcBorders>
              <w:top w:val="nil"/>
              <w:left w:val="nil"/>
              <w:bottom w:val="single" w:sz="4" w:space="0" w:color="auto"/>
              <w:right w:val="single" w:sz="4" w:space="0" w:color="auto"/>
            </w:tcBorders>
            <w:shd w:val="clear" w:color="000000" w:fill="FFFFFF"/>
            <w:vAlign w:val="center"/>
          </w:tcPr>
          <w:p w:rsidR="00E2507D" w:rsidRPr="00422120" w:rsidP="00E2507D">
            <w:pPr>
              <w:autoSpaceDE/>
              <w:autoSpaceDN/>
              <w:adjustRightInd/>
              <w:spacing w:after="0"/>
              <w:jc w:val="left"/>
              <w:rPr>
                <w:rFonts w:eastAsia="Times New Roman" w:cs="Arial"/>
                <w:lang w:eastAsia="en-GB"/>
              </w:rPr>
            </w:pPr>
            <w:r w:rsidRPr="00422120">
              <w:rPr>
                <w:rFonts w:eastAsia="Times New Roman" w:cs="Arial"/>
                <w:lang w:eastAsia="en-GB"/>
              </w:rPr>
              <w:t>Business Intelligence</w:t>
            </w:r>
          </w:p>
        </w:tc>
        <w:tc>
          <w:tcPr>
            <w:tcW w:w="1337" w:type="dxa"/>
            <w:tcBorders>
              <w:top w:val="nil"/>
              <w:left w:val="single" w:sz="4" w:space="0" w:color="auto"/>
              <w:bottom w:val="single" w:sz="4" w:space="0" w:color="auto"/>
              <w:right w:val="single" w:sz="4" w:space="0" w:color="auto"/>
            </w:tcBorders>
            <w:shd w:val="clear" w:color="auto" w:fill="auto"/>
            <w:vAlign w:val="center"/>
          </w:tcPr>
          <w:p w:rsidR="00E2507D" w:rsidRPr="00422120" w:rsidP="00E2507D">
            <w:pPr>
              <w:autoSpaceDE/>
              <w:autoSpaceDN/>
              <w:adjustRightInd/>
              <w:spacing w:after="0"/>
              <w:jc w:val="right"/>
              <w:rPr>
                <w:rFonts w:eastAsia="Times New Roman" w:cs="Arial"/>
                <w:highlight w:val="yellow"/>
                <w:lang w:eastAsia="en-GB"/>
              </w:rPr>
            </w:pPr>
            <w:r w:rsidRPr="00422120">
              <w:rPr>
                <w:rFonts w:eastAsia="Times New Roman" w:cs="Arial"/>
                <w:lang w:eastAsia="en-GB"/>
              </w:rPr>
              <w:t>1.315</w:t>
            </w:r>
          </w:p>
        </w:tc>
        <w:tc>
          <w:tcPr>
            <w:tcW w:w="1096" w:type="dxa"/>
            <w:tcBorders>
              <w:top w:val="nil"/>
              <w:left w:val="nil"/>
              <w:bottom w:val="single" w:sz="4" w:space="0" w:color="auto"/>
              <w:right w:val="single" w:sz="4" w:space="0" w:color="auto"/>
            </w:tcBorders>
            <w:shd w:val="clear" w:color="auto" w:fill="auto"/>
            <w:vAlign w:val="center"/>
          </w:tcPr>
          <w:p w:rsidR="00E2507D" w:rsidRPr="004D2E08" w:rsidP="00E2507D">
            <w:pPr>
              <w:autoSpaceDE/>
              <w:autoSpaceDN/>
              <w:adjustRightInd/>
              <w:spacing w:after="0"/>
              <w:jc w:val="right"/>
              <w:rPr>
                <w:rFonts w:eastAsia="Times New Roman" w:cs="Arial"/>
                <w:lang w:eastAsia="en-GB"/>
              </w:rPr>
            </w:pPr>
            <w:r w:rsidRPr="004D2E08">
              <w:rPr>
                <w:rFonts w:cs="Arial"/>
              </w:rPr>
              <w:t>1.249</w:t>
            </w:r>
          </w:p>
        </w:tc>
        <w:tc>
          <w:tcPr>
            <w:tcW w:w="1217" w:type="dxa"/>
            <w:tcBorders>
              <w:top w:val="nil"/>
              <w:left w:val="nil"/>
              <w:bottom w:val="single" w:sz="4" w:space="0" w:color="auto"/>
              <w:right w:val="single" w:sz="4" w:space="0" w:color="auto"/>
            </w:tcBorders>
            <w:shd w:val="clear" w:color="000000" w:fill="D9D9D9"/>
            <w:vAlign w:val="center"/>
          </w:tcPr>
          <w:p w:rsidR="00E2507D" w:rsidRPr="004D2E08" w:rsidP="00E2507D">
            <w:pPr>
              <w:autoSpaceDE/>
              <w:autoSpaceDN/>
              <w:adjustRightInd/>
              <w:spacing w:after="0"/>
              <w:jc w:val="right"/>
              <w:rPr>
                <w:rFonts w:eastAsia="Times New Roman" w:cs="Arial"/>
                <w:lang w:eastAsia="en-GB"/>
              </w:rPr>
            </w:pPr>
            <w:r w:rsidRPr="004D2E08">
              <w:rPr>
                <w:rFonts w:cs="Arial"/>
              </w:rPr>
              <w:t>-0.066</w:t>
            </w:r>
          </w:p>
        </w:tc>
        <w:tc>
          <w:tcPr>
            <w:tcW w:w="1217" w:type="dxa"/>
            <w:tcBorders>
              <w:top w:val="nil"/>
              <w:left w:val="single" w:sz="4" w:space="0" w:color="auto"/>
              <w:bottom w:val="single" w:sz="4" w:space="0" w:color="auto"/>
              <w:right w:val="single" w:sz="4" w:space="0" w:color="auto"/>
            </w:tcBorders>
            <w:vAlign w:val="center"/>
          </w:tcPr>
          <w:p w:rsidR="00E2507D" w:rsidRPr="004D2E08" w:rsidP="00E2507D">
            <w:pPr>
              <w:autoSpaceDE/>
              <w:autoSpaceDN/>
              <w:adjustRightInd/>
              <w:spacing w:after="0"/>
              <w:jc w:val="right"/>
              <w:rPr>
                <w:rFonts w:cs="Arial"/>
              </w:rPr>
            </w:pPr>
            <w:r w:rsidRPr="004D2E08">
              <w:rPr>
                <w:rFonts w:cs="Arial"/>
              </w:rPr>
              <w:t>-5.02%</w:t>
            </w:r>
          </w:p>
        </w:tc>
        <w:tc>
          <w:tcPr>
            <w:tcW w:w="1217" w:type="dxa"/>
            <w:tcBorders>
              <w:top w:val="nil"/>
              <w:left w:val="single" w:sz="4" w:space="0" w:color="auto"/>
              <w:bottom w:val="single" w:sz="4" w:space="0" w:color="auto"/>
              <w:right w:val="single" w:sz="4" w:space="0" w:color="auto"/>
            </w:tcBorders>
            <w:shd w:val="clear" w:color="auto" w:fill="auto"/>
            <w:vAlign w:val="center"/>
          </w:tcPr>
          <w:p w:rsidR="00E2507D" w:rsidRPr="004D2E08" w:rsidP="00E2507D">
            <w:pPr>
              <w:autoSpaceDE/>
              <w:autoSpaceDN/>
              <w:adjustRightInd/>
              <w:spacing w:after="0"/>
              <w:jc w:val="right"/>
              <w:rPr>
                <w:rFonts w:eastAsia="Times New Roman" w:cs="Arial"/>
                <w:lang w:eastAsia="en-GB"/>
              </w:rPr>
            </w:pPr>
            <w:r w:rsidRPr="004D2E08">
              <w:rPr>
                <w:rFonts w:cs="Arial"/>
              </w:rPr>
              <w:t>-0.053</w:t>
            </w:r>
          </w:p>
        </w:tc>
      </w:tr>
      <w:tr w:rsidTr="00E2507D">
        <w:tblPrEx>
          <w:tblW w:w="9231" w:type="dxa"/>
          <w:tblInd w:w="-147" w:type="dxa"/>
          <w:tblLook w:val="04A0"/>
        </w:tblPrEx>
        <w:trPr>
          <w:trHeight w:val="775"/>
        </w:trPr>
        <w:tc>
          <w:tcPr>
            <w:tcW w:w="807" w:type="dxa"/>
            <w:tcBorders>
              <w:top w:val="nil"/>
              <w:left w:val="single" w:sz="4" w:space="0" w:color="auto"/>
              <w:bottom w:val="single" w:sz="4" w:space="0" w:color="auto"/>
              <w:right w:val="single" w:sz="4" w:space="0" w:color="auto"/>
            </w:tcBorders>
            <w:shd w:val="clear" w:color="000000" w:fill="D9D9D9"/>
            <w:hideMark/>
          </w:tcPr>
          <w:p w:rsidR="00E2507D" w:rsidRPr="00422120" w:rsidP="00E2507D">
            <w:pPr>
              <w:autoSpaceDE/>
              <w:autoSpaceDN/>
              <w:adjustRightInd/>
              <w:spacing w:after="0"/>
              <w:jc w:val="center"/>
              <w:rPr>
                <w:rFonts w:eastAsia="Times New Roman" w:cs="Arial"/>
                <w:b/>
                <w:bCs/>
                <w:lang w:eastAsia="en-GB"/>
              </w:rPr>
            </w:pPr>
            <w:r w:rsidRPr="00422120">
              <w:rPr>
                <w:rFonts w:eastAsia="Times New Roman" w:cs="Arial"/>
                <w:b/>
                <w:bCs/>
                <w:lang w:eastAsia="en-GB"/>
              </w:rPr>
              <w:t> </w:t>
            </w:r>
          </w:p>
        </w:tc>
        <w:tc>
          <w:tcPr>
            <w:tcW w:w="2340" w:type="dxa"/>
            <w:tcBorders>
              <w:top w:val="nil"/>
              <w:left w:val="nil"/>
              <w:bottom w:val="single" w:sz="4" w:space="0" w:color="auto"/>
              <w:right w:val="single" w:sz="4" w:space="0" w:color="auto"/>
            </w:tcBorders>
            <w:shd w:val="clear" w:color="000000" w:fill="D9D9D9"/>
            <w:vAlign w:val="center"/>
            <w:hideMark/>
          </w:tcPr>
          <w:p w:rsidR="00E2507D" w:rsidRPr="00422120" w:rsidP="00E2507D">
            <w:pPr>
              <w:autoSpaceDE/>
              <w:autoSpaceDN/>
              <w:adjustRightInd/>
              <w:spacing w:after="0"/>
              <w:jc w:val="left"/>
              <w:rPr>
                <w:rFonts w:eastAsia="Times New Roman" w:cs="Arial"/>
                <w:b/>
                <w:bCs/>
                <w:lang w:eastAsia="en-GB"/>
              </w:rPr>
            </w:pPr>
            <w:r w:rsidRPr="00422120">
              <w:rPr>
                <w:rFonts w:eastAsia="Times New Roman" w:cs="Arial"/>
                <w:b/>
                <w:bCs/>
                <w:lang w:eastAsia="en-GB"/>
              </w:rPr>
              <w:t>Total – Strategy and Performance</w:t>
            </w:r>
          </w:p>
        </w:tc>
        <w:tc>
          <w:tcPr>
            <w:tcW w:w="1337" w:type="dxa"/>
            <w:tcBorders>
              <w:top w:val="nil"/>
              <w:left w:val="single" w:sz="4" w:space="0" w:color="auto"/>
              <w:bottom w:val="single" w:sz="4" w:space="0" w:color="auto"/>
              <w:right w:val="single" w:sz="4" w:space="0" w:color="auto"/>
            </w:tcBorders>
            <w:shd w:val="clear" w:color="000000" w:fill="D9D9D9"/>
            <w:vAlign w:val="center"/>
          </w:tcPr>
          <w:p w:rsidR="00E2507D" w:rsidRPr="00422120" w:rsidP="00E2507D">
            <w:pPr>
              <w:autoSpaceDE/>
              <w:autoSpaceDN/>
              <w:adjustRightInd/>
              <w:spacing w:after="0"/>
              <w:jc w:val="right"/>
              <w:rPr>
                <w:rFonts w:eastAsia="Times New Roman" w:cs="Arial"/>
                <w:b/>
                <w:bCs/>
                <w:highlight w:val="yellow"/>
                <w:lang w:eastAsia="en-GB"/>
              </w:rPr>
            </w:pPr>
            <w:r w:rsidRPr="00422120">
              <w:rPr>
                <w:rFonts w:eastAsia="Times New Roman" w:cs="Arial"/>
                <w:b/>
                <w:bCs/>
                <w:lang w:eastAsia="en-GB"/>
              </w:rPr>
              <w:t>31.096</w:t>
            </w:r>
          </w:p>
        </w:tc>
        <w:tc>
          <w:tcPr>
            <w:tcW w:w="1096" w:type="dxa"/>
            <w:tcBorders>
              <w:top w:val="nil"/>
              <w:left w:val="nil"/>
              <w:bottom w:val="single" w:sz="4" w:space="0" w:color="auto"/>
              <w:right w:val="single" w:sz="4" w:space="0" w:color="auto"/>
            </w:tcBorders>
            <w:shd w:val="clear" w:color="000000" w:fill="D9D9D9"/>
            <w:vAlign w:val="center"/>
          </w:tcPr>
          <w:p w:rsidR="00E2507D" w:rsidRPr="004D2E08" w:rsidP="00E2507D">
            <w:pPr>
              <w:autoSpaceDE/>
              <w:autoSpaceDN/>
              <w:adjustRightInd/>
              <w:spacing w:after="0"/>
              <w:jc w:val="right"/>
              <w:rPr>
                <w:rFonts w:eastAsia="Times New Roman" w:cs="Arial"/>
                <w:b/>
                <w:bCs/>
                <w:lang w:eastAsia="en-GB"/>
              </w:rPr>
            </w:pPr>
            <w:r w:rsidRPr="004D2E08">
              <w:rPr>
                <w:rFonts w:cs="Arial"/>
                <w:b/>
                <w:bCs/>
              </w:rPr>
              <w:t>33.601</w:t>
            </w:r>
          </w:p>
        </w:tc>
        <w:tc>
          <w:tcPr>
            <w:tcW w:w="1217" w:type="dxa"/>
            <w:tcBorders>
              <w:top w:val="nil"/>
              <w:left w:val="nil"/>
              <w:bottom w:val="single" w:sz="4" w:space="0" w:color="auto"/>
              <w:right w:val="single" w:sz="4" w:space="0" w:color="auto"/>
            </w:tcBorders>
            <w:shd w:val="clear" w:color="000000" w:fill="D9D9D9"/>
            <w:vAlign w:val="center"/>
          </w:tcPr>
          <w:p w:rsidR="00E2507D" w:rsidRPr="004D2E08" w:rsidP="00E2507D">
            <w:pPr>
              <w:autoSpaceDE/>
              <w:autoSpaceDN/>
              <w:adjustRightInd/>
              <w:spacing w:after="0"/>
              <w:jc w:val="right"/>
              <w:rPr>
                <w:rFonts w:eastAsia="Times New Roman" w:cs="Arial"/>
                <w:b/>
                <w:bCs/>
                <w:lang w:eastAsia="en-GB"/>
              </w:rPr>
            </w:pPr>
            <w:r w:rsidRPr="004D2E08">
              <w:rPr>
                <w:rFonts w:cs="Arial"/>
                <w:b/>
                <w:bCs/>
              </w:rPr>
              <w:t>2.505</w:t>
            </w:r>
          </w:p>
        </w:tc>
        <w:tc>
          <w:tcPr>
            <w:tcW w:w="1217" w:type="dxa"/>
            <w:tcBorders>
              <w:top w:val="nil"/>
              <w:left w:val="single" w:sz="4" w:space="0" w:color="auto"/>
              <w:bottom w:val="single" w:sz="4" w:space="0" w:color="auto"/>
              <w:right w:val="single" w:sz="4" w:space="0" w:color="auto"/>
            </w:tcBorders>
            <w:shd w:val="clear" w:color="000000" w:fill="D9D9D9"/>
            <w:vAlign w:val="center"/>
          </w:tcPr>
          <w:p w:rsidR="00E2507D" w:rsidRPr="004D2E08" w:rsidP="00E2507D">
            <w:pPr>
              <w:autoSpaceDE/>
              <w:autoSpaceDN/>
              <w:adjustRightInd/>
              <w:spacing w:after="0"/>
              <w:jc w:val="right"/>
              <w:rPr>
                <w:rFonts w:cs="Arial"/>
                <w:b/>
                <w:bCs/>
              </w:rPr>
            </w:pPr>
            <w:r w:rsidRPr="004D2E08">
              <w:rPr>
                <w:rFonts w:cs="Arial"/>
                <w:b/>
                <w:bCs/>
              </w:rPr>
              <w:t>8.06%</w:t>
            </w:r>
          </w:p>
        </w:tc>
        <w:tc>
          <w:tcPr>
            <w:tcW w:w="1217" w:type="dxa"/>
            <w:tcBorders>
              <w:top w:val="nil"/>
              <w:left w:val="single" w:sz="4" w:space="0" w:color="auto"/>
              <w:bottom w:val="single" w:sz="4" w:space="0" w:color="auto"/>
              <w:right w:val="single" w:sz="4" w:space="0" w:color="auto"/>
            </w:tcBorders>
            <w:shd w:val="clear" w:color="000000" w:fill="D9D9D9"/>
            <w:vAlign w:val="center"/>
          </w:tcPr>
          <w:p w:rsidR="00E2507D" w:rsidRPr="004D2E08" w:rsidP="00E2507D">
            <w:pPr>
              <w:autoSpaceDE/>
              <w:autoSpaceDN/>
              <w:adjustRightInd/>
              <w:spacing w:after="0"/>
              <w:jc w:val="right"/>
              <w:rPr>
                <w:rFonts w:eastAsia="Times New Roman" w:cs="Arial"/>
                <w:b/>
                <w:bCs/>
                <w:lang w:eastAsia="en-GB"/>
              </w:rPr>
            </w:pPr>
            <w:r w:rsidRPr="004D2E08">
              <w:rPr>
                <w:rFonts w:cs="Arial"/>
                <w:b/>
                <w:bCs/>
              </w:rPr>
              <w:t>0.967</w:t>
            </w:r>
          </w:p>
        </w:tc>
      </w:tr>
    </w:tbl>
    <w:p w:rsidR="00E2507D" w:rsidRPr="00506BBC" w:rsidP="00E2507D">
      <w:pPr>
        <w:autoSpaceDE/>
        <w:autoSpaceDN/>
        <w:adjustRightInd/>
        <w:spacing w:after="0"/>
        <w:jc w:val="left"/>
        <w:rPr>
          <w:b/>
          <w:highlight w:val="yellow"/>
        </w:rPr>
      </w:pPr>
    </w:p>
    <w:p w:rsidR="00E2507D" w:rsidRPr="00D63128" w:rsidP="00E2507D">
      <w:pPr>
        <w:spacing w:after="0"/>
        <w:rPr>
          <w:rFonts w:cs="Arial"/>
        </w:rPr>
      </w:pPr>
      <w:r w:rsidRPr="00D63128">
        <w:rPr>
          <w:rFonts w:cs="Arial"/>
        </w:rPr>
        <w:t>Strategy and Performance Services have overspent by £2.505m in 2019/20. The final outturn position has worsened by £1.538m compared to the Quarter 3 position reported to Cabinet.</w:t>
      </w:r>
    </w:p>
    <w:p w:rsidR="00E2507D" w:rsidRPr="00506BBC" w:rsidP="00E2507D">
      <w:pPr>
        <w:tabs>
          <w:tab w:val="left" w:pos="851"/>
          <w:tab w:val="left" w:pos="1418"/>
        </w:tabs>
        <w:spacing w:after="0"/>
        <w:contextualSpacing/>
        <w:rPr>
          <w:rFonts w:cs="Arial"/>
          <w:highlight w:val="yellow"/>
        </w:rPr>
      </w:pPr>
    </w:p>
    <w:p w:rsidR="00E2507D" w:rsidRPr="004A7A0D" w:rsidP="00E2507D">
      <w:pPr>
        <w:spacing w:after="0"/>
        <w:rPr>
          <w:rFonts w:cs="Arial"/>
        </w:rPr>
      </w:pPr>
      <w:r w:rsidRPr="00552426">
        <w:rPr>
          <w:rFonts w:cs="Arial"/>
          <w:b/>
        </w:rPr>
        <w:t>3.9.1 Asset Management</w:t>
      </w:r>
      <w:r w:rsidRPr="00D87E90">
        <w:rPr>
          <w:rFonts w:cs="Arial"/>
        </w:rPr>
        <w:t xml:space="preserve"> has underspent by £179,000 in 2019/20 primarily due to a non-recurrent underspend relating to the sale of excess carbon reduction credits (£417,000), this being partly offset by an overspend of £107,000 on street lighting energy due to delays in replacing the remaining street lights with energy efficient fittings and a staffing overspend of £148,000.</w:t>
      </w:r>
    </w:p>
    <w:p w:rsidR="00E2507D" w:rsidRPr="004A7A0D" w:rsidP="00E2507D">
      <w:pPr>
        <w:spacing w:after="0"/>
        <w:rPr>
          <w:rFonts w:cs="Arial"/>
        </w:rPr>
      </w:pPr>
    </w:p>
    <w:p w:rsidR="00E2507D" w:rsidRPr="00506BBC" w:rsidP="00E2507D">
      <w:pPr>
        <w:spacing w:after="0"/>
        <w:rPr>
          <w:rFonts w:cs="Arial"/>
          <w:highlight w:val="yellow"/>
        </w:rPr>
      </w:pPr>
      <w:r w:rsidRPr="004A7A0D">
        <w:rPr>
          <w:rFonts w:cs="Arial"/>
        </w:rPr>
        <w:t>The outturn position has worsened by £153,000 compared to quarter 3 due to the street lighting overspend and increased staffing costs.</w:t>
      </w:r>
    </w:p>
    <w:p w:rsidR="00E2507D" w:rsidRPr="00506BBC" w:rsidP="00E2507D">
      <w:pPr>
        <w:spacing w:after="0"/>
        <w:rPr>
          <w:rFonts w:cs="Arial"/>
          <w:highlight w:val="yellow"/>
        </w:rPr>
      </w:pPr>
    </w:p>
    <w:p w:rsidR="00E2507D" w:rsidP="00E2507D">
      <w:pPr>
        <w:spacing w:after="0"/>
        <w:contextualSpacing/>
        <w:rPr>
          <w:rFonts w:cs="Arial"/>
        </w:rPr>
      </w:pPr>
      <w:r w:rsidRPr="00552426">
        <w:rPr>
          <w:rFonts w:cs="Arial"/>
          <w:b/>
        </w:rPr>
        <w:t>3.9.2 Facilities Management</w:t>
      </w:r>
      <w:r w:rsidRPr="001B0B89">
        <w:rPr>
          <w:rFonts w:cs="Arial"/>
        </w:rPr>
        <w:t xml:space="preserve"> has overspent by £2.664m in 2019/20.</w:t>
      </w:r>
      <w:r w:rsidRPr="00D87E90">
        <w:rPr>
          <w:rFonts w:cs="Arial"/>
        </w:rPr>
        <w:t>The most significant variance relates to school catering which is a £2.179m overspend. In quarter 3 we reported a £555,000 pressure which factored in, school closures due to sickness (not coronavirus) and increases in food costs</w:t>
      </w:r>
      <w:r>
        <w:rPr>
          <w:rFonts w:cs="Arial"/>
        </w:rPr>
        <w:t>.</w:t>
      </w:r>
      <w:r w:rsidRPr="00D87E90">
        <w:rPr>
          <w:rFonts w:cs="Arial"/>
        </w:rPr>
        <w:t xml:space="preserve"> </w:t>
      </w:r>
    </w:p>
    <w:p w:rsidR="00E2507D" w:rsidP="00E2507D">
      <w:pPr>
        <w:spacing w:after="0"/>
        <w:contextualSpacing/>
        <w:rPr>
          <w:rFonts w:cs="Arial"/>
        </w:rPr>
      </w:pPr>
    </w:p>
    <w:p w:rsidR="00E2507D" w:rsidP="00E2507D">
      <w:pPr>
        <w:spacing w:after="0"/>
        <w:contextualSpacing/>
        <w:rPr>
          <w:rFonts w:cs="Arial"/>
        </w:rPr>
      </w:pPr>
      <w:r>
        <w:rPr>
          <w:rFonts w:cs="Arial"/>
        </w:rPr>
        <w:t>The movement since</w:t>
      </w:r>
      <w:r w:rsidRPr="00D87E90">
        <w:rPr>
          <w:rFonts w:cs="Arial"/>
        </w:rPr>
        <w:t xml:space="preserve"> quarter 3 relates to a decision to purchase CYPAD</w:t>
      </w:r>
      <w:r>
        <w:rPr>
          <w:rFonts w:cs="Arial"/>
        </w:rPr>
        <w:t xml:space="preserve"> catering management software </w:t>
      </w:r>
      <w:r w:rsidRPr="00D87E90">
        <w:rPr>
          <w:rFonts w:cs="Arial"/>
        </w:rPr>
        <w:t xml:space="preserve">licenses using revenue budget as opposed to reserves and increased staffing costs in the last quarter. </w:t>
      </w:r>
    </w:p>
    <w:p w:rsidR="00E2507D" w:rsidP="00E2507D">
      <w:pPr>
        <w:spacing w:after="0"/>
        <w:contextualSpacing/>
        <w:rPr>
          <w:rFonts w:cs="Arial"/>
        </w:rPr>
      </w:pPr>
    </w:p>
    <w:p w:rsidR="00E2507D" w:rsidRPr="00D87E90" w:rsidP="00E2507D">
      <w:pPr>
        <w:spacing w:after="0"/>
        <w:contextualSpacing/>
        <w:rPr>
          <w:rFonts w:cs="Arial"/>
        </w:rPr>
      </w:pPr>
      <w:r w:rsidRPr="00D87E90">
        <w:rPr>
          <w:rFonts w:cs="Arial"/>
        </w:rPr>
        <w:t xml:space="preserve">In addition to these factors </w:t>
      </w:r>
      <w:r>
        <w:rPr>
          <w:rFonts w:cs="Arial"/>
        </w:rPr>
        <w:t>we have</w:t>
      </w:r>
      <w:r w:rsidRPr="00D87E90">
        <w:rPr>
          <w:rFonts w:cs="Arial"/>
        </w:rPr>
        <w:t xml:space="preserve"> review</w:t>
      </w:r>
      <w:r>
        <w:rPr>
          <w:rFonts w:cs="Arial"/>
        </w:rPr>
        <w:t>ed the</w:t>
      </w:r>
      <w:r w:rsidRPr="00D87E90">
        <w:rPr>
          <w:rFonts w:cs="Arial"/>
        </w:rPr>
        <w:t xml:space="preserve"> accounting processes around year end f</w:t>
      </w:r>
      <w:r>
        <w:rPr>
          <w:rFonts w:cs="Arial"/>
        </w:rPr>
        <w:t>or income charges to schools, and the process for recognising</w:t>
      </w:r>
      <w:r w:rsidRPr="00D87E90">
        <w:rPr>
          <w:rFonts w:cs="Arial"/>
        </w:rPr>
        <w:t xml:space="preserve"> closing stock on the balance sheet. A provision has also been made on the balance sheet to recognise that income levels for March will be much reduced due to coronavirus related school closures.</w:t>
      </w:r>
    </w:p>
    <w:p w:rsidR="00E2507D" w:rsidRPr="00D87E90" w:rsidP="00E2507D">
      <w:pPr>
        <w:spacing w:after="0"/>
        <w:contextualSpacing/>
        <w:rPr>
          <w:rFonts w:cs="Arial"/>
        </w:rPr>
      </w:pPr>
    </w:p>
    <w:p w:rsidR="00E2507D" w:rsidRPr="00D87E90" w:rsidP="00E2507D">
      <w:pPr>
        <w:spacing w:after="0"/>
        <w:contextualSpacing/>
        <w:rPr>
          <w:rFonts w:cs="Arial"/>
        </w:rPr>
      </w:pPr>
      <w:r>
        <w:rPr>
          <w:rFonts w:cs="Arial"/>
        </w:rPr>
        <w:t xml:space="preserve">Within property </w:t>
      </w:r>
      <w:r w:rsidRPr="001B0B89">
        <w:rPr>
          <w:rFonts w:cs="Arial"/>
        </w:rPr>
        <w:t>there is a non</w:t>
      </w:r>
      <w:r>
        <w:rPr>
          <w:rFonts w:cs="Arial"/>
        </w:rPr>
        <w:t>-recurrent overspend of £634,000 due to the partial delivery on a saving against the repairs and maintenance budget, and underspend of £235,000 on property running costs and a non-recurrent underspend of £224,000 regarding to a historic provision for property sale fees, which is no longer required.</w:t>
      </w:r>
      <w:r w:rsidRPr="00D87E90">
        <w:rPr>
          <w:rFonts w:cs="Arial"/>
        </w:rPr>
        <w:tab/>
      </w:r>
    </w:p>
    <w:p w:rsidR="00E2507D" w:rsidP="00E2507D">
      <w:pPr>
        <w:spacing w:after="0"/>
        <w:contextualSpacing/>
        <w:rPr>
          <w:rFonts w:cs="Arial"/>
        </w:rPr>
      </w:pPr>
      <w:r w:rsidRPr="00D87E90">
        <w:rPr>
          <w:rFonts w:cs="Arial"/>
        </w:rPr>
        <w:t xml:space="preserve">The forecast position has worsened by £1.383m compared to quarter 3 predominantly relating to the movement in the school catering service. </w:t>
      </w:r>
    </w:p>
    <w:p w:rsidR="00E2507D" w:rsidRPr="00D87E90" w:rsidP="00E2507D">
      <w:pPr>
        <w:spacing w:after="0"/>
        <w:contextualSpacing/>
        <w:rPr>
          <w:rFonts w:cs="Arial"/>
        </w:rPr>
      </w:pPr>
    </w:p>
    <w:p w:rsidR="00E2507D" w:rsidRPr="00552426" w:rsidP="00E2507D">
      <w:pPr>
        <w:spacing w:after="0"/>
        <w:contextualSpacing/>
        <w:rPr>
          <w:rFonts w:cs="Arial"/>
          <w:b/>
        </w:rPr>
      </w:pPr>
      <w:r w:rsidRPr="00552426">
        <w:rPr>
          <w:rFonts w:cs="Arial"/>
          <w:b/>
        </w:rPr>
        <w:t>3.9.3 Core Systems and Business Support</w:t>
      </w:r>
    </w:p>
    <w:p w:rsidR="00E2507D" w:rsidP="00E2507D">
      <w:pPr>
        <w:spacing w:after="0"/>
        <w:contextualSpacing/>
        <w:rPr>
          <w:rFonts w:cs="Arial"/>
        </w:rPr>
      </w:pPr>
      <w:r w:rsidRPr="00932847">
        <w:rPr>
          <w:rFonts w:cs="Arial"/>
        </w:rPr>
        <w:t xml:space="preserve">The </w:t>
      </w:r>
      <w:r>
        <w:rPr>
          <w:rFonts w:cs="Arial"/>
        </w:rPr>
        <w:t xml:space="preserve">outturn position, an overspend of £152,000 </w:t>
      </w:r>
      <w:r w:rsidRPr="00932847">
        <w:rPr>
          <w:rFonts w:cs="Arial"/>
        </w:rPr>
        <w:t>predominantly relates to delays in delivering budgeted savings on staffing and reducing external printing costs.</w:t>
      </w:r>
    </w:p>
    <w:p w:rsidR="00E2507D" w:rsidRPr="00932847" w:rsidP="00E2507D">
      <w:pPr>
        <w:spacing w:after="0"/>
        <w:contextualSpacing/>
        <w:rPr>
          <w:rFonts w:cs="Arial"/>
        </w:rPr>
      </w:pPr>
    </w:p>
    <w:p w:rsidR="00E2507D" w:rsidRPr="00932847" w:rsidP="00E2507D">
      <w:pPr>
        <w:spacing w:after="0"/>
        <w:contextualSpacing/>
        <w:rPr>
          <w:rFonts w:cs="Arial"/>
        </w:rPr>
      </w:pPr>
      <w:r w:rsidRPr="00552426">
        <w:rPr>
          <w:rFonts w:cs="Arial"/>
          <w:b/>
        </w:rPr>
        <w:t>3.9.4 and 3.9.5 Programme Office and Business Intelligence</w:t>
      </w:r>
      <w:r w:rsidRPr="00932847">
        <w:rPr>
          <w:rFonts w:cs="Arial"/>
          <w:b/>
          <w:i/>
        </w:rPr>
        <w:t xml:space="preserve"> </w:t>
      </w:r>
      <w:r w:rsidRPr="00932847">
        <w:rPr>
          <w:rFonts w:cs="Arial"/>
        </w:rPr>
        <w:t xml:space="preserve">have reported insignificant variances against budget. </w:t>
      </w:r>
    </w:p>
    <w:p w:rsidR="00E2507D" w:rsidP="00E2507D">
      <w:pPr>
        <w:spacing w:after="0"/>
        <w:rPr>
          <w:rFonts w:eastAsia="Times New Roman" w:cs="Arial"/>
          <w:b/>
          <w:lang w:eastAsia="en-GB"/>
        </w:rPr>
      </w:pPr>
    </w:p>
    <w:p w:rsidR="00E2507D" w:rsidRPr="00422120" w:rsidP="00E2507D">
      <w:pPr>
        <w:spacing w:after="0"/>
        <w:rPr>
          <w:rFonts w:cs="Arial"/>
          <w:b/>
        </w:rPr>
      </w:pPr>
      <w:r w:rsidRPr="00422120">
        <w:rPr>
          <w:rFonts w:eastAsia="Times New Roman" w:cs="Arial"/>
          <w:b/>
          <w:lang w:eastAsia="en-GB"/>
        </w:rPr>
        <w:t>4.0</w:t>
      </w:r>
      <w:r w:rsidRPr="00422120">
        <w:rPr>
          <w:rFonts w:eastAsia="Times New Roman" w:cs="Arial"/>
          <w:b/>
          <w:lang w:eastAsia="en-GB"/>
        </w:rPr>
        <w:tab/>
      </w:r>
      <w:r w:rsidRPr="00422120">
        <w:rPr>
          <w:rFonts w:cs="Arial"/>
          <w:b/>
        </w:rPr>
        <w:t>Chief Executive</w:t>
      </w:r>
    </w:p>
    <w:p w:rsidR="00E2507D" w:rsidRPr="00422120" w:rsidP="00E2507D">
      <w:pPr>
        <w:autoSpaceDE/>
        <w:autoSpaceDN/>
        <w:adjustRightInd/>
        <w:spacing w:after="0"/>
        <w:rPr>
          <w:rFonts w:cs="Arial"/>
        </w:rPr>
      </w:pPr>
    </w:p>
    <w:tbl>
      <w:tblPr>
        <w:tblW w:w="9060" w:type="dxa"/>
        <w:tblLook w:val="04A0"/>
      </w:tblPr>
      <w:tblGrid>
        <w:gridCol w:w="750"/>
        <w:gridCol w:w="2226"/>
        <w:gridCol w:w="1337"/>
        <w:gridCol w:w="1096"/>
        <w:gridCol w:w="1217"/>
        <w:gridCol w:w="1217"/>
        <w:gridCol w:w="1217"/>
      </w:tblGrid>
      <w:tr w:rsidTr="00E2507D">
        <w:tblPrEx>
          <w:tblW w:w="9060" w:type="dxa"/>
          <w:tblLook w:val="04A0"/>
        </w:tblPrEx>
        <w:trPr>
          <w:trHeight w:val="681"/>
        </w:trPr>
        <w:tc>
          <w:tcPr>
            <w:tcW w:w="750" w:type="dxa"/>
            <w:tcBorders>
              <w:top w:val="single" w:sz="4" w:space="0" w:color="auto"/>
              <w:left w:val="single" w:sz="4" w:space="0" w:color="auto"/>
              <w:bottom w:val="nil"/>
              <w:right w:val="single" w:sz="4" w:space="0" w:color="auto"/>
            </w:tcBorders>
            <w:shd w:val="clear" w:color="000000" w:fill="D9D9D9"/>
            <w:vAlign w:val="center"/>
            <w:hideMark/>
          </w:tcPr>
          <w:p w:rsidR="00E2507D" w:rsidRPr="003F4F72" w:rsidP="00E2507D">
            <w:pPr>
              <w:autoSpaceDE/>
              <w:autoSpaceDN/>
              <w:adjustRightInd/>
              <w:spacing w:after="0"/>
              <w:jc w:val="center"/>
              <w:rPr>
                <w:rFonts w:eastAsia="Times New Roman" w:cs="Arial"/>
                <w:b/>
                <w:bCs/>
                <w:lang w:eastAsia="en-GB"/>
              </w:rPr>
            </w:pPr>
            <w:r w:rsidRPr="003F4F72">
              <w:rPr>
                <w:rFonts w:eastAsia="Times New Roman" w:cs="Arial"/>
                <w:b/>
                <w:bCs/>
                <w:lang w:eastAsia="en-GB"/>
              </w:rPr>
              <w:t>Ref</w:t>
            </w:r>
          </w:p>
        </w:tc>
        <w:tc>
          <w:tcPr>
            <w:tcW w:w="2226" w:type="dxa"/>
            <w:tcBorders>
              <w:top w:val="single" w:sz="4" w:space="0" w:color="auto"/>
              <w:left w:val="nil"/>
              <w:bottom w:val="nil"/>
              <w:right w:val="single" w:sz="4" w:space="0" w:color="auto"/>
            </w:tcBorders>
            <w:shd w:val="clear" w:color="000000" w:fill="D9D9D9"/>
            <w:vAlign w:val="center"/>
            <w:hideMark/>
          </w:tcPr>
          <w:p w:rsidR="00E2507D" w:rsidRPr="003F4F72" w:rsidP="00E2507D">
            <w:pPr>
              <w:autoSpaceDE/>
              <w:autoSpaceDN/>
              <w:adjustRightInd/>
              <w:spacing w:after="0"/>
              <w:jc w:val="center"/>
              <w:rPr>
                <w:rFonts w:eastAsia="Times New Roman" w:cs="Arial"/>
                <w:b/>
                <w:bCs/>
                <w:lang w:eastAsia="en-GB"/>
              </w:rPr>
            </w:pPr>
            <w:r w:rsidRPr="003F4F72">
              <w:rPr>
                <w:rFonts w:eastAsia="Times New Roman" w:cs="Arial"/>
                <w:b/>
                <w:bCs/>
                <w:lang w:eastAsia="en-GB"/>
              </w:rPr>
              <w:t>Head of Service</w:t>
            </w:r>
          </w:p>
        </w:tc>
        <w:tc>
          <w:tcPr>
            <w:tcW w:w="1337" w:type="dxa"/>
            <w:tcBorders>
              <w:top w:val="single" w:sz="4" w:space="0" w:color="auto"/>
              <w:left w:val="nil"/>
              <w:bottom w:val="nil"/>
              <w:right w:val="single" w:sz="4" w:space="0" w:color="auto"/>
            </w:tcBorders>
            <w:shd w:val="clear" w:color="000000" w:fill="D9D9D9"/>
            <w:vAlign w:val="center"/>
            <w:hideMark/>
          </w:tcPr>
          <w:p w:rsidR="00E2507D" w:rsidRPr="003F4F72" w:rsidP="00E2507D">
            <w:pPr>
              <w:autoSpaceDE/>
              <w:autoSpaceDN/>
              <w:adjustRightInd/>
              <w:spacing w:after="0"/>
              <w:jc w:val="center"/>
              <w:rPr>
                <w:rFonts w:eastAsia="Times New Roman" w:cs="Arial"/>
                <w:b/>
                <w:bCs/>
                <w:lang w:eastAsia="en-GB"/>
              </w:rPr>
            </w:pPr>
            <w:r w:rsidRPr="003F4F72">
              <w:rPr>
                <w:rFonts w:eastAsia="Times New Roman" w:cs="Arial"/>
                <w:b/>
                <w:bCs/>
                <w:lang w:eastAsia="en-GB"/>
              </w:rPr>
              <w:t>Approved Budget</w:t>
            </w:r>
          </w:p>
        </w:tc>
        <w:tc>
          <w:tcPr>
            <w:tcW w:w="1096" w:type="dxa"/>
            <w:tcBorders>
              <w:top w:val="single" w:sz="4" w:space="0" w:color="auto"/>
              <w:left w:val="nil"/>
              <w:bottom w:val="nil"/>
              <w:right w:val="single" w:sz="4" w:space="0" w:color="auto"/>
            </w:tcBorders>
            <w:shd w:val="clear" w:color="000000" w:fill="D9D9D9"/>
            <w:vAlign w:val="center"/>
            <w:hideMark/>
          </w:tcPr>
          <w:p w:rsidR="00E2507D" w:rsidRPr="003F4F72" w:rsidP="00E2507D">
            <w:pPr>
              <w:autoSpaceDE/>
              <w:autoSpaceDN/>
              <w:adjustRightInd/>
              <w:spacing w:after="0"/>
              <w:jc w:val="center"/>
              <w:rPr>
                <w:rFonts w:eastAsia="Times New Roman" w:cs="Arial"/>
                <w:b/>
                <w:bCs/>
                <w:lang w:eastAsia="en-GB"/>
              </w:rPr>
            </w:pPr>
            <w:r w:rsidRPr="003F4F72">
              <w:rPr>
                <w:rFonts w:eastAsia="Times New Roman" w:cs="Arial"/>
                <w:b/>
                <w:bCs/>
                <w:lang w:eastAsia="en-GB"/>
              </w:rPr>
              <w:t>Outturn</w:t>
            </w:r>
          </w:p>
        </w:tc>
        <w:tc>
          <w:tcPr>
            <w:tcW w:w="1217" w:type="dxa"/>
            <w:tcBorders>
              <w:top w:val="single" w:sz="4" w:space="0" w:color="auto"/>
              <w:left w:val="nil"/>
              <w:bottom w:val="nil"/>
              <w:right w:val="single" w:sz="4" w:space="0" w:color="auto"/>
            </w:tcBorders>
            <w:shd w:val="clear" w:color="000000" w:fill="D9D9D9"/>
            <w:vAlign w:val="center"/>
            <w:hideMark/>
          </w:tcPr>
          <w:p w:rsidR="00E2507D" w:rsidRPr="003F4F72" w:rsidP="00E2507D">
            <w:pPr>
              <w:autoSpaceDE/>
              <w:autoSpaceDN/>
              <w:adjustRightInd/>
              <w:spacing w:after="0"/>
              <w:jc w:val="center"/>
              <w:rPr>
                <w:rFonts w:eastAsia="Times New Roman" w:cs="Arial"/>
                <w:b/>
                <w:bCs/>
                <w:lang w:eastAsia="en-GB"/>
              </w:rPr>
            </w:pPr>
            <w:r w:rsidRPr="003F4F72">
              <w:rPr>
                <w:rFonts w:eastAsia="Times New Roman" w:cs="Arial"/>
                <w:b/>
                <w:bCs/>
                <w:lang w:eastAsia="en-GB"/>
              </w:rPr>
              <w:t>Outturn Variance</w:t>
            </w:r>
          </w:p>
        </w:tc>
        <w:tc>
          <w:tcPr>
            <w:tcW w:w="1217" w:type="dxa"/>
            <w:tcBorders>
              <w:top w:val="single" w:sz="4" w:space="0" w:color="auto"/>
              <w:left w:val="nil"/>
              <w:bottom w:val="nil"/>
              <w:right w:val="single" w:sz="4" w:space="0" w:color="auto"/>
            </w:tcBorders>
            <w:shd w:val="clear" w:color="000000" w:fill="D9D9D9"/>
            <w:vAlign w:val="center"/>
          </w:tcPr>
          <w:p w:rsidR="00E2507D" w:rsidRPr="003F4F72" w:rsidP="00E2507D">
            <w:pPr>
              <w:autoSpaceDE/>
              <w:autoSpaceDN/>
              <w:adjustRightInd/>
              <w:spacing w:after="0"/>
              <w:jc w:val="center"/>
              <w:rPr>
                <w:rFonts w:eastAsia="Times New Roman" w:cs="Arial"/>
                <w:b/>
                <w:bCs/>
                <w:lang w:eastAsia="en-GB"/>
              </w:rPr>
            </w:pPr>
            <w:r w:rsidRPr="003F4F72">
              <w:rPr>
                <w:rFonts w:eastAsia="Times New Roman" w:cs="Arial"/>
                <w:b/>
                <w:bCs/>
                <w:lang w:eastAsia="en-GB"/>
              </w:rPr>
              <w:t>Outturn Variance</w:t>
            </w:r>
          </w:p>
        </w:tc>
        <w:tc>
          <w:tcPr>
            <w:tcW w:w="1217" w:type="dxa"/>
            <w:tcBorders>
              <w:top w:val="single" w:sz="4" w:space="0" w:color="auto"/>
              <w:left w:val="single" w:sz="4" w:space="0" w:color="auto"/>
              <w:bottom w:val="nil"/>
              <w:right w:val="single" w:sz="4" w:space="0" w:color="auto"/>
            </w:tcBorders>
            <w:shd w:val="clear" w:color="000000" w:fill="D9D9D9"/>
            <w:vAlign w:val="center"/>
            <w:hideMark/>
          </w:tcPr>
          <w:p w:rsidR="00E2507D" w:rsidRPr="003F4F72" w:rsidP="00E2507D">
            <w:pPr>
              <w:autoSpaceDE/>
              <w:autoSpaceDN/>
              <w:adjustRightInd/>
              <w:spacing w:after="0"/>
              <w:jc w:val="center"/>
              <w:rPr>
                <w:rFonts w:eastAsia="Times New Roman" w:cs="Arial"/>
                <w:b/>
                <w:bCs/>
                <w:lang w:eastAsia="en-GB"/>
              </w:rPr>
            </w:pPr>
            <w:r w:rsidRPr="003F4F72">
              <w:rPr>
                <w:rFonts w:eastAsia="Times New Roman" w:cs="Arial"/>
                <w:b/>
                <w:bCs/>
                <w:lang w:eastAsia="en-GB"/>
              </w:rPr>
              <w:t>Quarter 3 Forecast Variance</w:t>
            </w:r>
          </w:p>
        </w:tc>
      </w:tr>
      <w:tr w:rsidTr="00E2507D">
        <w:tblPrEx>
          <w:tblW w:w="9060" w:type="dxa"/>
          <w:tblLook w:val="04A0"/>
        </w:tblPrEx>
        <w:trPr>
          <w:trHeight w:val="283"/>
        </w:trPr>
        <w:tc>
          <w:tcPr>
            <w:tcW w:w="750" w:type="dxa"/>
            <w:tcBorders>
              <w:top w:val="nil"/>
              <w:left w:val="single" w:sz="4" w:space="0" w:color="auto"/>
              <w:bottom w:val="single" w:sz="4" w:space="0" w:color="auto"/>
              <w:right w:val="single" w:sz="4" w:space="0" w:color="auto"/>
            </w:tcBorders>
            <w:shd w:val="clear" w:color="000000" w:fill="D9D9D9"/>
            <w:vAlign w:val="bottom"/>
            <w:hideMark/>
          </w:tcPr>
          <w:p w:rsidR="00E2507D" w:rsidRPr="003F4F72" w:rsidP="00E2507D">
            <w:pPr>
              <w:autoSpaceDE/>
              <w:autoSpaceDN/>
              <w:adjustRightInd/>
              <w:spacing w:after="0"/>
              <w:rPr>
                <w:rFonts w:eastAsia="Times New Roman" w:cs="Arial"/>
                <w:b/>
                <w:bCs/>
                <w:lang w:eastAsia="en-GB"/>
              </w:rPr>
            </w:pPr>
          </w:p>
        </w:tc>
        <w:tc>
          <w:tcPr>
            <w:tcW w:w="2226" w:type="dxa"/>
            <w:tcBorders>
              <w:top w:val="nil"/>
              <w:left w:val="nil"/>
              <w:bottom w:val="single" w:sz="4" w:space="0" w:color="auto"/>
              <w:right w:val="single" w:sz="4" w:space="0" w:color="auto"/>
            </w:tcBorders>
            <w:shd w:val="clear" w:color="000000" w:fill="D9D9D9"/>
            <w:vAlign w:val="bottom"/>
            <w:hideMark/>
          </w:tcPr>
          <w:p w:rsidR="00E2507D" w:rsidRPr="003F4F72" w:rsidP="00E2507D">
            <w:pPr>
              <w:autoSpaceDE/>
              <w:autoSpaceDN/>
              <w:adjustRightInd/>
              <w:spacing w:after="0"/>
              <w:jc w:val="center"/>
              <w:rPr>
                <w:rFonts w:eastAsia="Times New Roman" w:cs="Arial"/>
                <w:b/>
                <w:bCs/>
                <w:lang w:eastAsia="en-GB"/>
              </w:rPr>
            </w:pPr>
            <w:r w:rsidRPr="003F4F72">
              <w:rPr>
                <w:rFonts w:eastAsia="Times New Roman" w:cs="Arial"/>
                <w:b/>
                <w:bCs/>
                <w:lang w:eastAsia="en-GB"/>
              </w:rPr>
              <w:t> </w:t>
            </w:r>
          </w:p>
        </w:tc>
        <w:tc>
          <w:tcPr>
            <w:tcW w:w="1337" w:type="dxa"/>
            <w:tcBorders>
              <w:top w:val="nil"/>
              <w:left w:val="nil"/>
              <w:bottom w:val="single" w:sz="4" w:space="0" w:color="auto"/>
              <w:right w:val="single" w:sz="4" w:space="0" w:color="auto"/>
            </w:tcBorders>
            <w:shd w:val="clear" w:color="000000" w:fill="D9D9D9"/>
            <w:vAlign w:val="bottom"/>
            <w:hideMark/>
          </w:tcPr>
          <w:p w:rsidR="00E2507D" w:rsidRPr="003F4F72" w:rsidP="00E2507D">
            <w:pPr>
              <w:autoSpaceDE/>
              <w:autoSpaceDN/>
              <w:adjustRightInd/>
              <w:spacing w:after="0"/>
              <w:jc w:val="center"/>
              <w:rPr>
                <w:rFonts w:eastAsia="Times New Roman" w:cs="Arial"/>
                <w:b/>
                <w:bCs/>
                <w:lang w:eastAsia="en-GB"/>
              </w:rPr>
            </w:pPr>
            <w:r w:rsidRPr="003F4F72">
              <w:rPr>
                <w:rFonts w:eastAsia="Times New Roman" w:cs="Arial"/>
                <w:b/>
                <w:bCs/>
                <w:lang w:eastAsia="en-GB"/>
              </w:rPr>
              <w:t xml:space="preserve"> £m </w:t>
            </w:r>
          </w:p>
        </w:tc>
        <w:tc>
          <w:tcPr>
            <w:tcW w:w="1096" w:type="dxa"/>
            <w:tcBorders>
              <w:top w:val="nil"/>
              <w:left w:val="nil"/>
              <w:bottom w:val="single" w:sz="4" w:space="0" w:color="auto"/>
              <w:right w:val="single" w:sz="4" w:space="0" w:color="auto"/>
            </w:tcBorders>
            <w:shd w:val="clear" w:color="000000" w:fill="D9D9D9"/>
            <w:vAlign w:val="bottom"/>
            <w:hideMark/>
          </w:tcPr>
          <w:p w:rsidR="00E2507D" w:rsidRPr="003F4F72" w:rsidP="00E2507D">
            <w:pPr>
              <w:autoSpaceDE/>
              <w:autoSpaceDN/>
              <w:adjustRightInd/>
              <w:spacing w:after="0"/>
              <w:jc w:val="center"/>
              <w:rPr>
                <w:rFonts w:eastAsia="Times New Roman" w:cs="Arial"/>
                <w:b/>
                <w:bCs/>
                <w:lang w:eastAsia="en-GB"/>
              </w:rPr>
            </w:pPr>
            <w:r w:rsidRPr="003F4F72">
              <w:rPr>
                <w:rFonts w:eastAsia="Times New Roman" w:cs="Arial"/>
                <w:b/>
                <w:bCs/>
                <w:lang w:eastAsia="en-GB"/>
              </w:rPr>
              <w:t xml:space="preserve"> £m </w:t>
            </w:r>
          </w:p>
        </w:tc>
        <w:tc>
          <w:tcPr>
            <w:tcW w:w="1217" w:type="dxa"/>
            <w:tcBorders>
              <w:top w:val="nil"/>
              <w:left w:val="nil"/>
              <w:bottom w:val="single" w:sz="4" w:space="0" w:color="auto"/>
              <w:right w:val="single" w:sz="4" w:space="0" w:color="auto"/>
            </w:tcBorders>
            <w:shd w:val="clear" w:color="000000" w:fill="D9D9D9"/>
            <w:vAlign w:val="bottom"/>
            <w:hideMark/>
          </w:tcPr>
          <w:p w:rsidR="00E2507D" w:rsidRPr="003F4F72" w:rsidP="00E2507D">
            <w:pPr>
              <w:autoSpaceDE/>
              <w:autoSpaceDN/>
              <w:adjustRightInd/>
              <w:spacing w:after="0"/>
              <w:jc w:val="center"/>
              <w:rPr>
                <w:rFonts w:eastAsia="Times New Roman" w:cs="Arial"/>
                <w:b/>
                <w:bCs/>
                <w:lang w:eastAsia="en-GB"/>
              </w:rPr>
            </w:pPr>
            <w:r w:rsidRPr="003F4F72">
              <w:rPr>
                <w:rFonts w:eastAsia="Times New Roman" w:cs="Arial"/>
                <w:b/>
                <w:bCs/>
                <w:lang w:eastAsia="en-GB"/>
              </w:rPr>
              <w:t xml:space="preserve"> £m </w:t>
            </w:r>
          </w:p>
        </w:tc>
        <w:tc>
          <w:tcPr>
            <w:tcW w:w="1217" w:type="dxa"/>
            <w:tcBorders>
              <w:top w:val="nil"/>
              <w:left w:val="nil"/>
              <w:bottom w:val="single" w:sz="4" w:space="0" w:color="auto"/>
              <w:right w:val="single" w:sz="4" w:space="0" w:color="auto"/>
            </w:tcBorders>
            <w:shd w:val="clear" w:color="000000" w:fill="D9D9D9"/>
            <w:vAlign w:val="bottom"/>
          </w:tcPr>
          <w:p w:rsidR="00E2507D" w:rsidRPr="003F4F72" w:rsidP="00E2507D">
            <w:pPr>
              <w:autoSpaceDE/>
              <w:autoSpaceDN/>
              <w:adjustRightInd/>
              <w:spacing w:after="0"/>
              <w:jc w:val="center"/>
              <w:rPr>
                <w:rFonts w:eastAsia="Times New Roman" w:cs="Arial"/>
                <w:b/>
                <w:bCs/>
                <w:lang w:eastAsia="en-GB"/>
              </w:rPr>
            </w:pPr>
            <w:r w:rsidRPr="003F4F72">
              <w:rPr>
                <w:rFonts w:eastAsia="Times New Roman" w:cs="Arial"/>
                <w:b/>
                <w:bCs/>
                <w:lang w:eastAsia="en-GB"/>
              </w:rPr>
              <w:t>%</w:t>
            </w:r>
          </w:p>
        </w:tc>
        <w:tc>
          <w:tcPr>
            <w:tcW w:w="1217" w:type="dxa"/>
            <w:tcBorders>
              <w:top w:val="nil"/>
              <w:left w:val="single" w:sz="4" w:space="0" w:color="auto"/>
              <w:bottom w:val="single" w:sz="4" w:space="0" w:color="auto"/>
              <w:right w:val="single" w:sz="4" w:space="0" w:color="auto"/>
            </w:tcBorders>
            <w:shd w:val="clear" w:color="000000" w:fill="D9D9D9"/>
            <w:vAlign w:val="bottom"/>
            <w:hideMark/>
          </w:tcPr>
          <w:p w:rsidR="00E2507D" w:rsidRPr="003F4F72" w:rsidP="00E2507D">
            <w:pPr>
              <w:autoSpaceDE/>
              <w:autoSpaceDN/>
              <w:adjustRightInd/>
              <w:spacing w:after="0"/>
              <w:jc w:val="center"/>
              <w:rPr>
                <w:rFonts w:eastAsia="Times New Roman" w:cs="Arial"/>
                <w:b/>
                <w:bCs/>
                <w:lang w:eastAsia="en-GB"/>
              </w:rPr>
            </w:pPr>
            <w:r w:rsidRPr="003F4F72">
              <w:rPr>
                <w:rFonts w:eastAsia="Times New Roman" w:cs="Arial"/>
                <w:b/>
                <w:bCs/>
                <w:lang w:eastAsia="en-GB"/>
              </w:rPr>
              <w:t xml:space="preserve"> £m </w:t>
            </w:r>
          </w:p>
        </w:tc>
      </w:tr>
      <w:tr w:rsidTr="00E2507D">
        <w:tblPrEx>
          <w:tblW w:w="9060" w:type="dxa"/>
          <w:tblLook w:val="04A0"/>
        </w:tblPrEx>
        <w:trPr>
          <w:trHeight w:val="498"/>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E2507D" w:rsidRPr="003F4F72" w:rsidP="00E2507D">
            <w:pPr>
              <w:autoSpaceDE/>
              <w:autoSpaceDN/>
              <w:adjustRightInd/>
              <w:spacing w:after="0"/>
              <w:jc w:val="center"/>
              <w:rPr>
                <w:rFonts w:eastAsia="Times New Roman" w:cs="Arial"/>
                <w:b/>
                <w:bCs/>
                <w:color w:val="auto"/>
                <w:lang w:eastAsia="en-GB"/>
              </w:rPr>
            </w:pPr>
            <w:r w:rsidRPr="003F4F72">
              <w:rPr>
                <w:rFonts w:eastAsia="Times New Roman" w:cs="Arial"/>
                <w:b/>
                <w:bCs/>
                <w:color w:val="auto"/>
                <w:lang w:eastAsia="en-GB"/>
              </w:rPr>
              <w:t>4.0.1</w:t>
            </w:r>
          </w:p>
        </w:tc>
        <w:tc>
          <w:tcPr>
            <w:tcW w:w="2226" w:type="dxa"/>
            <w:tcBorders>
              <w:top w:val="nil"/>
              <w:left w:val="nil"/>
              <w:bottom w:val="single" w:sz="4" w:space="0" w:color="auto"/>
              <w:right w:val="single" w:sz="4" w:space="0" w:color="auto"/>
            </w:tcBorders>
            <w:shd w:val="clear" w:color="000000" w:fill="FFFFFF"/>
            <w:vAlign w:val="center"/>
            <w:hideMark/>
          </w:tcPr>
          <w:p w:rsidR="00E2507D" w:rsidRPr="003F4F72" w:rsidP="00E2507D">
            <w:pPr>
              <w:autoSpaceDE/>
              <w:autoSpaceDN/>
              <w:adjustRightInd/>
              <w:spacing w:after="0"/>
              <w:jc w:val="left"/>
              <w:rPr>
                <w:rFonts w:eastAsia="Times New Roman" w:cs="Arial"/>
                <w:lang w:eastAsia="en-GB"/>
              </w:rPr>
            </w:pPr>
            <w:r w:rsidRPr="003F4F72">
              <w:rPr>
                <w:rFonts w:eastAsia="Times New Roman" w:cs="Arial"/>
                <w:lang w:eastAsia="en-GB"/>
              </w:rPr>
              <w:t>Chief Executive Services</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7D" w:rsidRPr="003F4F72" w:rsidP="00E2507D">
            <w:pPr>
              <w:autoSpaceDE/>
              <w:autoSpaceDN/>
              <w:adjustRightInd/>
              <w:spacing w:after="0"/>
              <w:jc w:val="right"/>
              <w:rPr>
                <w:rFonts w:eastAsia="Times New Roman" w:cs="Arial"/>
                <w:lang w:eastAsia="en-GB"/>
              </w:rPr>
            </w:pPr>
            <w:r w:rsidRPr="003F4F72">
              <w:rPr>
                <w:rFonts w:eastAsia="Times New Roman" w:cs="Arial"/>
                <w:lang w:eastAsia="en-GB"/>
              </w:rPr>
              <w:t>3.419</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E2507D" w:rsidRPr="003F4F72" w:rsidP="00E2507D">
            <w:pPr>
              <w:autoSpaceDE/>
              <w:autoSpaceDN/>
              <w:adjustRightInd/>
              <w:spacing w:after="0"/>
              <w:jc w:val="right"/>
              <w:rPr>
                <w:rFonts w:eastAsia="Times New Roman" w:cs="Arial"/>
                <w:lang w:eastAsia="en-GB"/>
              </w:rPr>
            </w:pPr>
            <w:r w:rsidRPr="003F4F72">
              <w:rPr>
                <w:rFonts w:cs="Arial"/>
              </w:rPr>
              <w:t>3.630</w:t>
            </w:r>
          </w:p>
        </w:tc>
        <w:tc>
          <w:tcPr>
            <w:tcW w:w="1217" w:type="dxa"/>
            <w:tcBorders>
              <w:top w:val="single" w:sz="4" w:space="0" w:color="auto"/>
              <w:left w:val="nil"/>
              <w:bottom w:val="single" w:sz="4" w:space="0" w:color="auto"/>
              <w:right w:val="single" w:sz="4" w:space="0" w:color="auto"/>
            </w:tcBorders>
            <w:shd w:val="clear" w:color="000000" w:fill="D9D9D9"/>
            <w:vAlign w:val="center"/>
            <w:hideMark/>
          </w:tcPr>
          <w:p w:rsidR="00E2507D" w:rsidRPr="003F4F72" w:rsidP="00E2507D">
            <w:pPr>
              <w:autoSpaceDE/>
              <w:autoSpaceDN/>
              <w:adjustRightInd/>
              <w:spacing w:after="0"/>
              <w:jc w:val="right"/>
              <w:rPr>
                <w:rFonts w:eastAsia="Times New Roman" w:cs="Arial"/>
                <w:lang w:eastAsia="en-GB"/>
              </w:rPr>
            </w:pPr>
            <w:r w:rsidRPr="003F4F72">
              <w:rPr>
                <w:rFonts w:cs="Arial"/>
              </w:rPr>
              <w:t>0.211</w:t>
            </w:r>
          </w:p>
        </w:tc>
        <w:tc>
          <w:tcPr>
            <w:tcW w:w="1217" w:type="dxa"/>
            <w:tcBorders>
              <w:top w:val="single" w:sz="4" w:space="0" w:color="auto"/>
              <w:left w:val="single" w:sz="4" w:space="0" w:color="auto"/>
              <w:bottom w:val="single" w:sz="4" w:space="0" w:color="auto"/>
              <w:right w:val="single" w:sz="4" w:space="0" w:color="auto"/>
            </w:tcBorders>
            <w:vAlign w:val="center"/>
          </w:tcPr>
          <w:p w:rsidR="00E2507D" w:rsidRPr="003F4F72" w:rsidP="00E2507D">
            <w:pPr>
              <w:autoSpaceDE/>
              <w:autoSpaceDN/>
              <w:adjustRightInd/>
              <w:spacing w:after="0"/>
              <w:jc w:val="right"/>
              <w:rPr>
                <w:rFonts w:cs="Arial"/>
              </w:rPr>
            </w:pPr>
            <w:r w:rsidRPr="003F4F72">
              <w:rPr>
                <w:rFonts w:cs="Arial"/>
              </w:rPr>
              <w:t>6.17%</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7D" w:rsidRPr="003F4F72" w:rsidP="00E2507D">
            <w:pPr>
              <w:autoSpaceDE/>
              <w:autoSpaceDN/>
              <w:adjustRightInd/>
              <w:spacing w:after="0"/>
              <w:jc w:val="right"/>
              <w:rPr>
                <w:rFonts w:eastAsia="Times New Roman" w:cs="Arial"/>
                <w:lang w:eastAsia="en-GB"/>
              </w:rPr>
            </w:pPr>
            <w:r w:rsidRPr="003F4F72">
              <w:rPr>
                <w:rFonts w:cs="Arial"/>
              </w:rPr>
              <w:t>0.029</w:t>
            </w:r>
          </w:p>
        </w:tc>
      </w:tr>
      <w:tr w:rsidTr="00E2507D">
        <w:tblPrEx>
          <w:tblW w:w="9060" w:type="dxa"/>
          <w:tblLook w:val="04A0"/>
        </w:tblPrEx>
        <w:trPr>
          <w:trHeight w:val="498"/>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E2507D" w:rsidRPr="003F4F72" w:rsidP="00E2507D">
            <w:pPr>
              <w:autoSpaceDE/>
              <w:autoSpaceDN/>
              <w:adjustRightInd/>
              <w:spacing w:after="0"/>
              <w:jc w:val="center"/>
              <w:rPr>
                <w:rFonts w:eastAsia="Times New Roman" w:cs="Arial"/>
                <w:b/>
                <w:bCs/>
                <w:color w:val="auto"/>
                <w:lang w:eastAsia="en-GB"/>
              </w:rPr>
            </w:pPr>
            <w:r w:rsidRPr="003F4F72">
              <w:rPr>
                <w:rFonts w:eastAsia="Times New Roman" w:cs="Arial"/>
                <w:b/>
                <w:bCs/>
                <w:color w:val="auto"/>
                <w:lang w:eastAsia="en-GB"/>
              </w:rPr>
              <w:t>4.0.2</w:t>
            </w:r>
          </w:p>
        </w:tc>
        <w:tc>
          <w:tcPr>
            <w:tcW w:w="2226" w:type="dxa"/>
            <w:tcBorders>
              <w:top w:val="nil"/>
              <w:left w:val="nil"/>
              <w:bottom w:val="single" w:sz="4" w:space="0" w:color="auto"/>
              <w:right w:val="single" w:sz="4" w:space="0" w:color="auto"/>
            </w:tcBorders>
            <w:shd w:val="clear" w:color="000000" w:fill="FFFFFF"/>
            <w:vAlign w:val="center"/>
            <w:hideMark/>
          </w:tcPr>
          <w:p w:rsidR="00E2507D" w:rsidRPr="003F4F72" w:rsidP="00E2507D">
            <w:pPr>
              <w:autoSpaceDE/>
              <w:autoSpaceDN/>
              <w:adjustRightInd/>
              <w:spacing w:after="0"/>
              <w:jc w:val="left"/>
              <w:rPr>
                <w:rFonts w:eastAsia="Times New Roman" w:cs="Arial"/>
                <w:lang w:eastAsia="en-GB"/>
              </w:rPr>
            </w:pPr>
            <w:r w:rsidRPr="003F4F72">
              <w:rPr>
                <w:rFonts w:eastAsia="Times New Roman" w:cs="Arial"/>
                <w:lang w:eastAsia="en-GB"/>
              </w:rPr>
              <w:t>Communications</w:t>
            </w:r>
          </w:p>
        </w:tc>
        <w:tc>
          <w:tcPr>
            <w:tcW w:w="1337" w:type="dxa"/>
            <w:tcBorders>
              <w:top w:val="nil"/>
              <w:left w:val="single" w:sz="4" w:space="0" w:color="auto"/>
              <w:bottom w:val="single" w:sz="4" w:space="0" w:color="auto"/>
              <w:right w:val="single" w:sz="4" w:space="0" w:color="auto"/>
            </w:tcBorders>
            <w:shd w:val="clear" w:color="auto" w:fill="auto"/>
            <w:vAlign w:val="center"/>
            <w:hideMark/>
          </w:tcPr>
          <w:p w:rsidR="00E2507D" w:rsidRPr="003F4F72" w:rsidP="00E2507D">
            <w:pPr>
              <w:autoSpaceDE/>
              <w:autoSpaceDN/>
              <w:adjustRightInd/>
              <w:spacing w:after="0"/>
              <w:jc w:val="right"/>
              <w:rPr>
                <w:rFonts w:eastAsia="Times New Roman" w:cs="Arial"/>
                <w:lang w:eastAsia="en-GB"/>
              </w:rPr>
            </w:pPr>
            <w:r w:rsidRPr="003F4F72">
              <w:rPr>
                <w:rFonts w:eastAsia="Times New Roman" w:cs="Arial"/>
                <w:lang w:eastAsia="en-GB"/>
              </w:rPr>
              <w:t>0.937</w:t>
            </w:r>
          </w:p>
        </w:tc>
        <w:tc>
          <w:tcPr>
            <w:tcW w:w="1096" w:type="dxa"/>
            <w:tcBorders>
              <w:top w:val="nil"/>
              <w:left w:val="nil"/>
              <w:bottom w:val="single" w:sz="4" w:space="0" w:color="auto"/>
              <w:right w:val="single" w:sz="4" w:space="0" w:color="auto"/>
            </w:tcBorders>
            <w:shd w:val="clear" w:color="auto" w:fill="auto"/>
            <w:vAlign w:val="center"/>
            <w:hideMark/>
          </w:tcPr>
          <w:p w:rsidR="00E2507D" w:rsidRPr="003F4F72" w:rsidP="00E2507D">
            <w:pPr>
              <w:autoSpaceDE/>
              <w:autoSpaceDN/>
              <w:adjustRightInd/>
              <w:spacing w:after="0"/>
              <w:jc w:val="right"/>
              <w:rPr>
                <w:rFonts w:eastAsia="Times New Roman" w:cs="Arial"/>
                <w:lang w:eastAsia="en-GB"/>
              </w:rPr>
            </w:pPr>
            <w:r w:rsidRPr="003F4F72">
              <w:rPr>
                <w:rFonts w:cs="Arial"/>
              </w:rPr>
              <w:t>1.018</w:t>
            </w:r>
          </w:p>
        </w:tc>
        <w:tc>
          <w:tcPr>
            <w:tcW w:w="1217" w:type="dxa"/>
            <w:tcBorders>
              <w:top w:val="nil"/>
              <w:left w:val="nil"/>
              <w:bottom w:val="single" w:sz="4" w:space="0" w:color="auto"/>
              <w:right w:val="single" w:sz="4" w:space="0" w:color="auto"/>
            </w:tcBorders>
            <w:shd w:val="clear" w:color="000000" w:fill="D9D9D9"/>
            <w:vAlign w:val="center"/>
            <w:hideMark/>
          </w:tcPr>
          <w:p w:rsidR="00E2507D" w:rsidRPr="003F4F72" w:rsidP="00E2507D">
            <w:pPr>
              <w:autoSpaceDE/>
              <w:autoSpaceDN/>
              <w:adjustRightInd/>
              <w:spacing w:after="0"/>
              <w:jc w:val="right"/>
              <w:rPr>
                <w:rFonts w:eastAsia="Times New Roman" w:cs="Arial"/>
                <w:lang w:eastAsia="en-GB"/>
              </w:rPr>
            </w:pPr>
            <w:r w:rsidRPr="003F4F72">
              <w:rPr>
                <w:rFonts w:cs="Arial"/>
              </w:rPr>
              <w:t>0.081</w:t>
            </w:r>
          </w:p>
        </w:tc>
        <w:tc>
          <w:tcPr>
            <w:tcW w:w="1217" w:type="dxa"/>
            <w:tcBorders>
              <w:top w:val="nil"/>
              <w:left w:val="single" w:sz="4" w:space="0" w:color="auto"/>
              <w:bottom w:val="single" w:sz="4" w:space="0" w:color="auto"/>
              <w:right w:val="single" w:sz="4" w:space="0" w:color="auto"/>
            </w:tcBorders>
            <w:vAlign w:val="center"/>
          </w:tcPr>
          <w:p w:rsidR="00E2507D" w:rsidRPr="003F4F72" w:rsidP="00E2507D">
            <w:pPr>
              <w:autoSpaceDE/>
              <w:autoSpaceDN/>
              <w:adjustRightInd/>
              <w:spacing w:after="0"/>
              <w:jc w:val="right"/>
              <w:rPr>
                <w:rFonts w:cs="Arial"/>
              </w:rPr>
            </w:pPr>
            <w:r w:rsidRPr="003F4F72">
              <w:rPr>
                <w:rFonts w:cs="Arial"/>
              </w:rPr>
              <w:t>8.64%</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E2507D" w:rsidRPr="003F4F72" w:rsidP="00E2507D">
            <w:pPr>
              <w:autoSpaceDE/>
              <w:autoSpaceDN/>
              <w:adjustRightInd/>
              <w:spacing w:after="0"/>
              <w:jc w:val="right"/>
              <w:rPr>
                <w:rFonts w:eastAsia="Times New Roman" w:cs="Arial"/>
                <w:lang w:eastAsia="en-GB"/>
              </w:rPr>
            </w:pPr>
            <w:r w:rsidRPr="003F4F72">
              <w:rPr>
                <w:rFonts w:cs="Arial"/>
              </w:rPr>
              <w:t>0.082</w:t>
            </w:r>
          </w:p>
        </w:tc>
      </w:tr>
      <w:tr w:rsidTr="00E2507D">
        <w:tblPrEx>
          <w:tblW w:w="9060" w:type="dxa"/>
          <w:tblLook w:val="04A0"/>
        </w:tblPrEx>
        <w:trPr>
          <w:trHeight w:val="498"/>
        </w:trPr>
        <w:tc>
          <w:tcPr>
            <w:tcW w:w="750" w:type="dxa"/>
            <w:tcBorders>
              <w:top w:val="nil"/>
              <w:left w:val="single" w:sz="4" w:space="0" w:color="auto"/>
              <w:bottom w:val="single" w:sz="4" w:space="0" w:color="auto"/>
              <w:right w:val="single" w:sz="4" w:space="0" w:color="auto"/>
            </w:tcBorders>
            <w:shd w:val="clear" w:color="auto" w:fill="auto"/>
            <w:vAlign w:val="center"/>
            <w:hideMark/>
          </w:tcPr>
          <w:p w:rsidR="00E2507D" w:rsidRPr="003F4F72" w:rsidP="00E2507D">
            <w:pPr>
              <w:autoSpaceDE/>
              <w:autoSpaceDN/>
              <w:adjustRightInd/>
              <w:spacing w:after="0"/>
              <w:jc w:val="center"/>
              <w:rPr>
                <w:rFonts w:eastAsia="Times New Roman" w:cs="Arial"/>
                <w:b/>
                <w:bCs/>
                <w:color w:val="auto"/>
                <w:lang w:eastAsia="en-GB"/>
              </w:rPr>
            </w:pPr>
            <w:r w:rsidRPr="003F4F72">
              <w:rPr>
                <w:rFonts w:eastAsia="Times New Roman" w:cs="Arial"/>
                <w:b/>
                <w:bCs/>
                <w:color w:val="auto"/>
                <w:lang w:eastAsia="en-GB"/>
              </w:rPr>
              <w:t>4.0.3</w:t>
            </w:r>
          </w:p>
        </w:tc>
        <w:tc>
          <w:tcPr>
            <w:tcW w:w="2226" w:type="dxa"/>
            <w:tcBorders>
              <w:top w:val="nil"/>
              <w:left w:val="nil"/>
              <w:bottom w:val="single" w:sz="4" w:space="0" w:color="auto"/>
              <w:right w:val="single" w:sz="4" w:space="0" w:color="auto"/>
            </w:tcBorders>
            <w:shd w:val="clear" w:color="auto" w:fill="auto"/>
            <w:vAlign w:val="center"/>
            <w:hideMark/>
          </w:tcPr>
          <w:p w:rsidR="00E2507D" w:rsidRPr="003F4F72" w:rsidP="00E2507D">
            <w:pPr>
              <w:autoSpaceDE/>
              <w:autoSpaceDN/>
              <w:adjustRightInd/>
              <w:spacing w:after="0"/>
              <w:jc w:val="left"/>
              <w:rPr>
                <w:rFonts w:eastAsia="Times New Roman" w:cs="Arial"/>
                <w:lang w:eastAsia="en-GB"/>
              </w:rPr>
            </w:pPr>
            <w:r w:rsidRPr="003F4F72">
              <w:rPr>
                <w:rFonts w:eastAsia="Times New Roman" w:cs="Arial"/>
                <w:lang w:eastAsia="en-GB"/>
              </w:rPr>
              <w:t>Corporate Budgets (Funding and Grants)</w:t>
            </w:r>
          </w:p>
        </w:tc>
        <w:tc>
          <w:tcPr>
            <w:tcW w:w="1337" w:type="dxa"/>
            <w:tcBorders>
              <w:top w:val="nil"/>
              <w:left w:val="single" w:sz="4" w:space="0" w:color="auto"/>
              <w:bottom w:val="single" w:sz="4" w:space="0" w:color="auto"/>
              <w:right w:val="single" w:sz="4" w:space="0" w:color="auto"/>
            </w:tcBorders>
            <w:shd w:val="clear" w:color="auto" w:fill="auto"/>
            <w:vAlign w:val="center"/>
            <w:hideMark/>
          </w:tcPr>
          <w:p w:rsidR="00E2507D" w:rsidRPr="003F4F72" w:rsidP="00E2507D">
            <w:pPr>
              <w:autoSpaceDE/>
              <w:autoSpaceDN/>
              <w:adjustRightInd/>
              <w:spacing w:after="0"/>
              <w:jc w:val="right"/>
              <w:rPr>
                <w:rFonts w:eastAsia="Times New Roman" w:cs="Arial"/>
                <w:lang w:eastAsia="en-GB"/>
              </w:rPr>
            </w:pPr>
            <w:r w:rsidRPr="003F4F72">
              <w:rPr>
                <w:rFonts w:eastAsia="Times New Roman" w:cs="Arial"/>
                <w:lang w:eastAsia="en-GB"/>
              </w:rPr>
              <w:t>-7.169</w:t>
            </w:r>
          </w:p>
        </w:tc>
        <w:tc>
          <w:tcPr>
            <w:tcW w:w="1096" w:type="dxa"/>
            <w:tcBorders>
              <w:top w:val="nil"/>
              <w:left w:val="nil"/>
              <w:bottom w:val="single" w:sz="4" w:space="0" w:color="auto"/>
              <w:right w:val="single" w:sz="4" w:space="0" w:color="auto"/>
            </w:tcBorders>
            <w:shd w:val="clear" w:color="auto" w:fill="auto"/>
            <w:vAlign w:val="center"/>
            <w:hideMark/>
          </w:tcPr>
          <w:p w:rsidR="00E2507D" w:rsidRPr="003F4F72" w:rsidP="00E2507D">
            <w:pPr>
              <w:autoSpaceDE/>
              <w:autoSpaceDN/>
              <w:adjustRightInd/>
              <w:spacing w:after="0"/>
              <w:jc w:val="right"/>
              <w:rPr>
                <w:rFonts w:eastAsia="Times New Roman" w:cs="Arial"/>
                <w:lang w:eastAsia="en-GB"/>
              </w:rPr>
            </w:pPr>
            <w:r w:rsidRPr="003F4F72">
              <w:rPr>
                <w:rFonts w:cs="Arial"/>
              </w:rPr>
              <w:t>-9.435</w:t>
            </w:r>
          </w:p>
        </w:tc>
        <w:tc>
          <w:tcPr>
            <w:tcW w:w="1217" w:type="dxa"/>
            <w:tcBorders>
              <w:top w:val="nil"/>
              <w:left w:val="nil"/>
              <w:bottom w:val="single" w:sz="4" w:space="0" w:color="auto"/>
              <w:right w:val="single" w:sz="4" w:space="0" w:color="auto"/>
            </w:tcBorders>
            <w:shd w:val="clear" w:color="000000" w:fill="D9D9D9"/>
            <w:vAlign w:val="center"/>
            <w:hideMark/>
          </w:tcPr>
          <w:p w:rsidR="00E2507D" w:rsidRPr="003F4F72" w:rsidP="00E2507D">
            <w:pPr>
              <w:autoSpaceDE/>
              <w:autoSpaceDN/>
              <w:adjustRightInd/>
              <w:spacing w:after="0"/>
              <w:jc w:val="right"/>
              <w:rPr>
                <w:rFonts w:eastAsia="Times New Roman" w:cs="Arial"/>
                <w:lang w:eastAsia="en-GB"/>
              </w:rPr>
            </w:pPr>
            <w:r w:rsidRPr="003F4F72">
              <w:rPr>
                <w:rFonts w:cs="Arial"/>
              </w:rPr>
              <w:t>-2.266</w:t>
            </w:r>
          </w:p>
        </w:tc>
        <w:tc>
          <w:tcPr>
            <w:tcW w:w="1217" w:type="dxa"/>
            <w:tcBorders>
              <w:top w:val="nil"/>
              <w:left w:val="single" w:sz="4" w:space="0" w:color="auto"/>
              <w:bottom w:val="single" w:sz="4" w:space="0" w:color="auto"/>
              <w:right w:val="single" w:sz="4" w:space="0" w:color="auto"/>
            </w:tcBorders>
            <w:vAlign w:val="center"/>
          </w:tcPr>
          <w:p w:rsidR="00E2507D" w:rsidRPr="003F4F72" w:rsidP="00E2507D">
            <w:pPr>
              <w:autoSpaceDE/>
              <w:autoSpaceDN/>
              <w:adjustRightInd/>
              <w:spacing w:after="0"/>
              <w:jc w:val="right"/>
              <w:rPr>
                <w:rFonts w:cs="Arial"/>
              </w:rPr>
            </w:pPr>
            <w:r w:rsidRPr="003F4F72">
              <w:rPr>
                <w:rFonts w:cs="Arial"/>
              </w:rPr>
              <w:t>-31.61%</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E2507D" w:rsidRPr="003F4F72" w:rsidP="00E2507D">
            <w:pPr>
              <w:autoSpaceDE/>
              <w:autoSpaceDN/>
              <w:adjustRightInd/>
              <w:spacing w:after="0"/>
              <w:jc w:val="right"/>
              <w:rPr>
                <w:rFonts w:eastAsia="Times New Roman" w:cs="Arial"/>
                <w:lang w:eastAsia="en-GB"/>
              </w:rPr>
            </w:pPr>
            <w:r w:rsidRPr="003F4F72">
              <w:rPr>
                <w:rFonts w:cs="Arial"/>
              </w:rPr>
              <w:t>-2.214</w:t>
            </w:r>
          </w:p>
        </w:tc>
      </w:tr>
      <w:tr w:rsidTr="00E2507D">
        <w:tblPrEx>
          <w:tblW w:w="9060" w:type="dxa"/>
          <w:tblLook w:val="04A0"/>
        </w:tblPrEx>
        <w:trPr>
          <w:trHeight w:val="498"/>
        </w:trPr>
        <w:tc>
          <w:tcPr>
            <w:tcW w:w="750" w:type="dxa"/>
            <w:tcBorders>
              <w:top w:val="nil"/>
              <w:left w:val="single" w:sz="4" w:space="0" w:color="auto"/>
              <w:bottom w:val="single" w:sz="4" w:space="0" w:color="auto"/>
              <w:right w:val="single" w:sz="4" w:space="0" w:color="auto"/>
            </w:tcBorders>
            <w:shd w:val="clear" w:color="auto" w:fill="auto"/>
            <w:vAlign w:val="center"/>
          </w:tcPr>
          <w:p w:rsidR="00E2507D" w:rsidRPr="003F4F72" w:rsidP="00E2507D">
            <w:pPr>
              <w:autoSpaceDE/>
              <w:autoSpaceDN/>
              <w:adjustRightInd/>
              <w:spacing w:after="0"/>
              <w:jc w:val="center"/>
              <w:rPr>
                <w:rFonts w:eastAsia="Times New Roman" w:cs="Arial"/>
                <w:b/>
                <w:bCs/>
                <w:color w:val="auto"/>
                <w:lang w:eastAsia="en-GB"/>
              </w:rPr>
            </w:pPr>
            <w:r w:rsidRPr="003F4F72">
              <w:rPr>
                <w:rFonts w:eastAsia="Times New Roman" w:cs="Arial"/>
                <w:b/>
                <w:bCs/>
                <w:color w:val="auto"/>
                <w:lang w:eastAsia="en-GB"/>
              </w:rPr>
              <w:t>4.0.4</w:t>
            </w:r>
          </w:p>
        </w:tc>
        <w:tc>
          <w:tcPr>
            <w:tcW w:w="2226" w:type="dxa"/>
            <w:tcBorders>
              <w:top w:val="nil"/>
              <w:left w:val="nil"/>
              <w:bottom w:val="single" w:sz="4" w:space="0" w:color="auto"/>
              <w:right w:val="single" w:sz="4" w:space="0" w:color="auto"/>
            </w:tcBorders>
            <w:shd w:val="clear" w:color="auto" w:fill="auto"/>
            <w:vAlign w:val="center"/>
          </w:tcPr>
          <w:p w:rsidR="00E2507D" w:rsidRPr="003F4F72" w:rsidP="00E2507D">
            <w:pPr>
              <w:autoSpaceDE/>
              <w:autoSpaceDN/>
              <w:adjustRightInd/>
              <w:spacing w:after="0"/>
              <w:jc w:val="left"/>
              <w:rPr>
                <w:rFonts w:eastAsia="Times New Roman" w:cs="Arial"/>
                <w:lang w:eastAsia="en-GB"/>
              </w:rPr>
            </w:pPr>
            <w:r w:rsidRPr="003F4F72">
              <w:rPr>
                <w:rFonts w:eastAsia="Times New Roman" w:cs="Arial"/>
                <w:lang w:eastAsia="en-GB"/>
              </w:rPr>
              <w:t>Corporate Budgets (Treasury Management)</w:t>
            </w:r>
          </w:p>
        </w:tc>
        <w:tc>
          <w:tcPr>
            <w:tcW w:w="1337" w:type="dxa"/>
            <w:tcBorders>
              <w:top w:val="nil"/>
              <w:left w:val="single" w:sz="4" w:space="0" w:color="auto"/>
              <w:bottom w:val="single" w:sz="4" w:space="0" w:color="auto"/>
              <w:right w:val="single" w:sz="4" w:space="0" w:color="auto"/>
            </w:tcBorders>
            <w:shd w:val="clear" w:color="auto" w:fill="auto"/>
            <w:vAlign w:val="center"/>
          </w:tcPr>
          <w:p w:rsidR="00E2507D" w:rsidRPr="003F4F72" w:rsidP="00E2507D">
            <w:pPr>
              <w:autoSpaceDE/>
              <w:autoSpaceDN/>
              <w:adjustRightInd/>
              <w:spacing w:after="0"/>
              <w:jc w:val="right"/>
              <w:rPr>
                <w:rFonts w:eastAsia="Times New Roman" w:cs="Arial"/>
                <w:lang w:eastAsia="en-GB"/>
              </w:rPr>
            </w:pPr>
            <w:r w:rsidRPr="003F4F72">
              <w:rPr>
                <w:rFonts w:eastAsia="Times New Roman" w:cs="Arial"/>
                <w:lang w:eastAsia="en-GB"/>
              </w:rPr>
              <w:t>26.046</w:t>
            </w:r>
          </w:p>
        </w:tc>
        <w:tc>
          <w:tcPr>
            <w:tcW w:w="1096" w:type="dxa"/>
            <w:tcBorders>
              <w:top w:val="nil"/>
              <w:left w:val="nil"/>
              <w:bottom w:val="single" w:sz="4" w:space="0" w:color="auto"/>
              <w:right w:val="single" w:sz="4" w:space="0" w:color="auto"/>
            </w:tcBorders>
            <w:shd w:val="clear" w:color="auto" w:fill="auto"/>
            <w:vAlign w:val="center"/>
          </w:tcPr>
          <w:p w:rsidR="00E2507D" w:rsidRPr="003F4F72" w:rsidP="00E2507D">
            <w:pPr>
              <w:autoSpaceDE/>
              <w:autoSpaceDN/>
              <w:adjustRightInd/>
              <w:spacing w:after="0"/>
              <w:jc w:val="right"/>
              <w:rPr>
                <w:rFonts w:eastAsia="Times New Roman" w:cs="Arial"/>
                <w:lang w:eastAsia="en-GB"/>
              </w:rPr>
            </w:pPr>
            <w:r w:rsidRPr="003F4F72">
              <w:rPr>
                <w:rFonts w:cs="Arial"/>
              </w:rPr>
              <w:t>3.158</w:t>
            </w:r>
          </w:p>
        </w:tc>
        <w:tc>
          <w:tcPr>
            <w:tcW w:w="1217" w:type="dxa"/>
            <w:tcBorders>
              <w:top w:val="nil"/>
              <w:left w:val="nil"/>
              <w:bottom w:val="single" w:sz="4" w:space="0" w:color="auto"/>
              <w:right w:val="single" w:sz="4" w:space="0" w:color="auto"/>
            </w:tcBorders>
            <w:shd w:val="clear" w:color="000000" w:fill="D9D9D9"/>
            <w:vAlign w:val="center"/>
          </w:tcPr>
          <w:p w:rsidR="00E2507D" w:rsidRPr="003F4F72" w:rsidP="00E2507D">
            <w:pPr>
              <w:autoSpaceDE/>
              <w:autoSpaceDN/>
              <w:adjustRightInd/>
              <w:spacing w:after="0"/>
              <w:jc w:val="right"/>
              <w:rPr>
                <w:rFonts w:eastAsia="Times New Roman" w:cs="Arial"/>
                <w:lang w:eastAsia="en-GB"/>
              </w:rPr>
            </w:pPr>
            <w:r w:rsidRPr="003F4F72">
              <w:rPr>
                <w:rFonts w:cs="Arial"/>
              </w:rPr>
              <w:t>-22.888</w:t>
            </w:r>
          </w:p>
        </w:tc>
        <w:tc>
          <w:tcPr>
            <w:tcW w:w="1217" w:type="dxa"/>
            <w:tcBorders>
              <w:top w:val="nil"/>
              <w:left w:val="single" w:sz="4" w:space="0" w:color="auto"/>
              <w:bottom w:val="single" w:sz="4" w:space="0" w:color="auto"/>
              <w:right w:val="single" w:sz="4" w:space="0" w:color="auto"/>
            </w:tcBorders>
            <w:vAlign w:val="center"/>
          </w:tcPr>
          <w:p w:rsidR="00E2507D" w:rsidRPr="003F4F72" w:rsidP="00E2507D">
            <w:pPr>
              <w:autoSpaceDE/>
              <w:autoSpaceDN/>
              <w:adjustRightInd/>
              <w:spacing w:after="0"/>
              <w:jc w:val="right"/>
              <w:rPr>
                <w:rFonts w:cs="Arial"/>
              </w:rPr>
            </w:pPr>
            <w:r w:rsidRPr="003F4F72">
              <w:rPr>
                <w:rFonts w:cs="Arial"/>
              </w:rPr>
              <w:t>-87.88%</w:t>
            </w:r>
          </w:p>
        </w:tc>
        <w:tc>
          <w:tcPr>
            <w:tcW w:w="1217" w:type="dxa"/>
            <w:tcBorders>
              <w:top w:val="nil"/>
              <w:left w:val="single" w:sz="4" w:space="0" w:color="auto"/>
              <w:bottom w:val="single" w:sz="4" w:space="0" w:color="auto"/>
              <w:right w:val="single" w:sz="4" w:space="0" w:color="auto"/>
            </w:tcBorders>
            <w:shd w:val="clear" w:color="auto" w:fill="auto"/>
            <w:vAlign w:val="center"/>
          </w:tcPr>
          <w:p w:rsidR="00E2507D" w:rsidRPr="003F4F72" w:rsidP="00E2507D">
            <w:pPr>
              <w:autoSpaceDE/>
              <w:autoSpaceDN/>
              <w:adjustRightInd/>
              <w:spacing w:after="0"/>
              <w:jc w:val="right"/>
              <w:rPr>
                <w:rFonts w:eastAsia="Times New Roman" w:cs="Arial"/>
                <w:lang w:eastAsia="en-GB"/>
              </w:rPr>
            </w:pPr>
            <w:r w:rsidRPr="003F4F72">
              <w:rPr>
                <w:rFonts w:cs="Arial"/>
              </w:rPr>
              <w:t>-22.805</w:t>
            </w:r>
          </w:p>
        </w:tc>
      </w:tr>
      <w:tr w:rsidTr="00E2507D">
        <w:tblPrEx>
          <w:tblW w:w="9060" w:type="dxa"/>
          <w:tblLook w:val="04A0"/>
        </w:tblPrEx>
        <w:trPr>
          <w:trHeight w:val="498"/>
        </w:trPr>
        <w:tc>
          <w:tcPr>
            <w:tcW w:w="750" w:type="dxa"/>
            <w:tcBorders>
              <w:top w:val="nil"/>
              <w:left w:val="single" w:sz="4" w:space="0" w:color="auto"/>
              <w:bottom w:val="single" w:sz="4" w:space="0" w:color="auto"/>
              <w:right w:val="single" w:sz="4" w:space="0" w:color="auto"/>
            </w:tcBorders>
            <w:shd w:val="clear" w:color="auto" w:fill="auto"/>
            <w:vAlign w:val="center"/>
          </w:tcPr>
          <w:p w:rsidR="00E2507D" w:rsidRPr="003F4F72" w:rsidP="00E2507D">
            <w:pPr>
              <w:autoSpaceDE/>
              <w:autoSpaceDN/>
              <w:adjustRightInd/>
              <w:spacing w:after="0"/>
              <w:jc w:val="center"/>
              <w:rPr>
                <w:rFonts w:eastAsia="Times New Roman" w:cs="Arial"/>
                <w:b/>
                <w:bCs/>
                <w:color w:val="auto"/>
                <w:lang w:eastAsia="en-GB"/>
              </w:rPr>
            </w:pPr>
            <w:r w:rsidRPr="003F4F72">
              <w:rPr>
                <w:rFonts w:eastAsia="Times New Roman" w:cs="Arial"/>
                <w:b/>
                <w:bCs/>
                <w:color w:val="auto"/>
                <w:lang w:eastAsia="en-GB"/>
              </w:rPr>
              <w:t>4.0.5</w:t>
            </w:r>
          </w:p>
        </w:tc>
        <w:tc>
          <w:tcPr>
            <w:tcW w:w="2226" w:type="dxa"/>
            <w:tcBorders>
              <w:top w:val="nil"/>
              <w:left w:val="nil"/>
              <w:bottom w:val="single" w:sz="4" w:space="0" w:color="auto"/>
              <w:right w:val="single" w:sz="4" w:space="0" w:color="auto"/>
            </w:tcBorders>
            <w:shd w:val="clear" w:color="auto" w:fill="auto"/>
            <w:vAlign w:val="center"/>
          </w:tcPr>
          <w:p w:rsidR="00E2507D" w:rsidRPr="003F4F72" w:rsidP="00E2507D">
            <w:pPr>
              <w:autoSpaceDE/>
              <w:autoSpaceDN/>
              <w:adjustRightInd/>
              <w:spacing w:after="0"/>
              <w:jc w:val="left"/>
              <w:rPr>
                <w:rFonts w:eastAsia="Times New Roman" w:cs="Arial"/>
                <w:lang w:eastAsia="en-GB"/>
              </w:rPr>
            </w:pPr>
            <w:r w:rsidRPr="003F4F72">
              <w:rPr>
                <w:rFonts w:eastAsia="Times New Roman" w:cs="Arial"/>
                <w:lang w:eastAsia="en-GB"/>
              </w:rPr>
              <w:t>Corporate Budgets (Pensions and Apprenticeship Levy)</w:t>
            </w:r>
          </w:p>
        </w:tc>
        <w:tc>
          <w:tcPr>
            <w:tcW w:w="1337" w:type="dxa"/>
            <w:tcBorders>
              <w:top w:val="nil"/>
              <w:left w:val="single" w:sz="4" w:space="0" w:color="auto"/>
              <w:bottom w:val="single" w:sz="4" w:space="0" w:color="auto"/>
              <w:right w:val="single" w:sz="4" w:space="0" w:color="auto"/>
            </w:tcBorders>
            <w:shd w:val="clear" w:color="auto" w:fill="auto"/>
            <w:vAlign w:val="center"/>
          </w:tcPr>
          <w:p w:rsidR="00E2507D" w:rsidRPr="003F4F72" w:rsidP="00E2507D">
            <w:pPr>
              <w:autoSpaceDE/>
              <w:autoSpaceDN/>
              <w:adjustRightInd/>
              <w:spacing w:after="0"/>
              <w:jc w:val="right"/>
              <w:rPr>
                <w:rFonts w:eastAsia="Times New Roman" w:cs="Arial"/>
                <w:lang w:eastAsia="en-GB"/>
              </w:rPr>
            </w:pPr>
            <w:r w:rsidRPr="003F4F72">
              <w:rPr>
                <w:rFonts w:eastAsia="Times New Roman" w:cs="Arial"/>
                <w:lang w:eastAsia="en-GB"/>
              </w:rPr>
              <w:t>21.384</w:t>
            </w:r>
          </w:p>
        </w:tc>
        <w:tc>
          <w:tcPr>
            <w:tcW w:w="1096" w:type="dxa"/>
            <w:tcBorders>
              <w:top w:val="nil"/>
              <w:left w:val="nil"/>
              <w:bottom w:val="single" w:sz="4" w:space="0" w:color="auto"/>
              <w:right w:val="single" w:sz="4" w:space="0" w:color="auto"/>
            </w:tcBorders>
            <w:shd w:val="clear" w:color="auto" w:fill="auto"/>
            <w:vAlign w:val="center"/>
          </w:tcPr>
          <w:p w:rsidR="00E2507D" w:rsidRPr="003F4F72" w:rsidP="00E2507D">
            <w:pPr>
              <w:autoSpaceDE/>
              <w:autoSpaceDN/>
              <w:adjustRightInd/>
              <w:spacing w:after="0"/>
              <w:jc w:val="right"/>
              <w:rPr>
                <w:rFonts w:eastAsia="Times New Roman" w:cs="Arial"/>
                <w:lang w:eastAsia="en-GB"/>
              </w:rPr>
            </w:pPr>
            <w:r w:rsidRPr="003F4F72">
              <w:rPr>
                <w:rFonts w:cs="Arial"/>
              </w:rPr>
              <w:t>16.962</w:t>
            </w:r>
          </w:p>
        </w:tc>
        <w:tc>
          <w:tcPr>
            <w:tcW w:w="1217" w:type="dxa"/>
            <w:tcBorders>
              <w:top w:val="nil"/>
              <w:left w:val="nil"/>
              <w:bottom w:val="single" w:sz="4" w:space="0" w:color="auto"/>
              <w:right w:val="single" w:sz="4" w:space="0" w:color="auto"/>
            </w:tcBorders>
            <w:shd w:val="clear" w:color="000000" w:fill="D9D9D9"/>
            <w:vAlign w:val="center"/>
          </w:tcPr>
          <w:p w:rsidR="00E2507D" w:rsidRPr="003F4F72" w:rsidP="00E2507D">
            <w:pPr>
              <w:autoSpaceDE/>
              <w:autoSpaceDN/>
              <w:adjustRightInd/>
              <w:spacing w:after="0"/>
              <w:jc w:val="right"/>
              <w:rPr>
                <w:rFonts w:eastAsia="Times New Roman" w:cs="Arial"/>
                <w:lang w:eastAsia="en-GB"/>
              </w:rPr>
            </w:pPr>
            <w:r w:rsidRPr="003F4F72">
              <w:rPr>
                <w:rFonts w:cs="Arial"/>
              </w:rPr>
              <w:t>-4.422</w:t>
            </w:r>
          </w:p>
        </w:tc>
        <w:tc>
          <w:tcPr>
            <w:tcW w:w="1217" w:type="dxa"/>
            <w:tcBorders>
              <w:top w:val="nil"/>
              <w:left w:val="single" w:sz="4" w:space="0" w:color="auto"/>
              <w:bottom w:val="single" w:sz="4" w:space="0" w:color="auto"/>
              <w:right w:val="single" w:sz="4" w:space="0" w:color="auto"/>
            </w:tcBorders>
            <w:vAlign w:val="center"/>
          </w:tcPr>
          <w:p w:rsidR="00E2507D" w:rsidRPr="003F4F72" w:rsidP="00E2507D">
            <w:pPr>
              <w:autoSpaceDE/>
              <w:autoSpaceDN/>
              <w:adjustRightInd/>
              <w:spacing w:after="0"/>
              <w:jc w:val="right"/>
              <w:rPr>
                <w:rFonts w:cs="Arial"/>
              </w:rPr>
            </w:pPr>
            <w:r w:rsidRPr="003F4F72">
              <w:rPr>
                <w:rFonts w:cs="Arial"/>
              </w:rPr>
              <w:t>-20.68%</w:t>
            </w:r>
          </w:p>
        </w:tc>
        <w:tc>
          <w:tcPr>
            <w:tcW w:w="1217" w:type="dxa"/>
            <w:tcBorders>
              <w:top w:val="nil"/>
              <w:left w:val="single" w:sz="4" w:space="0" w:color="auto"/>
              <w:bottom w:val="single" w:sz="4" w:space="0" w:color="auto"/>
              <w:right w:val="single" w:sz="4" w:space="0" w:color="auto"/>
            </w:tcBorders>
            <w:shd w:val="clear" w:color="auto" w:fill="auto"/>
            <w:vAlign w:val="center"/>
          </w:tcPr>
          <w:p w:rsidR="00E2507D" w:rsidRPr="003F4F72" w:rsidP="00E2507D">
            <w:pPr>
              <w:autoSpaceDE/>
              <w:autoSpaceDN/>
              <w:adjustRightInd/>
              <w:spacing w:after="0"/>
              <w:jc w:val="right"/>
              <w:rPr>
                <w:rFonts w:eastAsia="Times New Roman" w:cs="Arial"/>
                <w:lang w:eastAsia="en-GB"/>
              </w:rPr>
            </w:pPr>
            <w:r w:rsidRPr="003F4F72">
              <w:rPr>
                <w:rFonts w:cs="Arial"/>
              </w:rPr>
              <w:t>-3.885</w:t>
            </w:r>
          </w:p>
        </w:tc>
      </w:tr>
      <w:tr w:rsidTr="00E2507D">
        <w:tblPrEx>
          <w:tblW w:w="9060" w:type="dxa"/>
          <w:tblLook w:val="04A0"/>
        </w:tblPrEx>
        <w:trPr>
          <w:trHeight w:val="498"/>
        </w:trPr>
        <w:tc>
          <w:tcPr>
            <w:tcW w:w="750" w:type="dxa"/>
            <w:tcBorders>
              <w:top w:val="nil"/>
              <w:left w:val="single" w:sz="4" w:space="0" w:color="auto"/>
              <w:bottom w:val="single" w:sz="4" w:space="0" w:color="auto"/>
              <w:right w:val="single" w:sz="4" w:space="0" w:color="auto"/>
            </w:tcBorders>
            <w:shd w:val="clear" w:color="000000" w:fill="D9D9D9"/>
            <w:vAlign w:val="center"/>
            <w:hideMark/>
          </w:tcPr>
          <w:p w:rsidR="00E2507D" w:rsidRPr="003F4F72" w:rsidP="00E2507D">
            <w:pPr>
              <w:autoSpaceDE/>
              <w:autoSpaceDN/>
              <w:adjustRightInd/>
              <w:spacing w:after="0"/>
              <w:jc w:val="right"/>
              <w:rPr>
                <w:rFonts w:eastAsia="Times New Roman" w:cs="Arial"/>
                <w:b/>
                <w:bCs/>
                <w:lang w:eastAsia="en-GB"/>
              </w:rPr>
            </w:pPr>
          </w:p>
        </w:tc>
        <w:tc>
          <w:tcPr>
            <w:tcW w:w="2226" w:type="dxa"/>
            <w:tcBorders>
              <w:top w:val="nil"/>
              <w:left w:val="nil"/>
              <w:bottom w:val="single" w:sz="4" w:space="0" w:color="auto"/>
              <w:right w:val="single" w:sz="4" w:space="0" w:color="auto"/>
            </w:tcBorders>
            <w:shd w:val="clear" w:color="000000" w:fill="D9D9D9"/>
            <w:vAlign w:val="center"/>
            <w:hideMark/>
          </w:tcPr>
          <w:p w:rsidR="00E2507D" w:rsidRPr="003F4F72" w:rsidP="00E2507D">
            <w:pPr>
              <w:autoSpaceDE/>
              <w:autoSpaceDN/>
              <w:adjustRightInd/>
              <w:spacing w:after="0"/>
              <w:jc w:val="left"/>
              <w:rPr>
                <w:rFonts w:eastAsia="Times New Roman" w:cs="Arial"/>
                <w:b/>
                <w:bCs/>
                <w:lang w:eastAsia="en-GB"/>
              </w:rPr>
            </w:pPr>
            <w:r w:rsidRPr="003F4F72">
              <w:rPr>
                <w:rFonts w:eastAsia="Times New Roman" w:cs="Arial"/>
                <w:b/>
                <w:bCs/>
                <w:lang w:eastAsia="en-GB"/>
              </w:rPr>
              <w:t>Total - Chief Executive</w:t>
            </w:r>
          </w:p>
        </w:tc>
        <w:tc>
          <w:tcPr>
            <w:tcW w:w="1337" w:type="dxa"/>
            <w:tcBorders>
              <w:top w:val="nil"/>
              <w:left w:val="single" w:sz="4" w:space="0" w:color="auto"/>
              <w:bottom w:val="single" w:sz="4" w:space="0" w:color="auto"/>
              <w:right w:val="single" w:sz="4" w:space="0" w:color="auto"/>
            </w:tcBorders>
            <w:shd w:val="clear" w:color="000000" w:fill="D9D9D9"/>
            <w:vAlign w:val="center"/>
            <w:hideMark/>
          </w:tcPr>
          <w:p w:rsidR="00E2507D" w:rsidRPr="003F4F72" w:rsidP="00E2507D">
            <w:pPr>
              <w:autoSpaceDE/>
              <w:autoSpaceDN/>
              <w:adjustRightInd/>
              <w:spacing w:after="0"/>
              <w:jc w:val="right"/>
              <w:rPr>
                <w:rFonts w:eastAsia="Times New Roman" w:cs="Arial"/>
                <w:b/>
                <w:bCs/>
                <w:lang w:eastAsia="en-GB"/>
              </w:rPr>
            </w:pPr>
            <w:r w:rsidRPr="003F4F72">
              <w:rPr>
                <w:rFonts w:eastAsia="Times New Roman" w:cs="Arial"/>
                <w:b/>
                <w:bCs/>
                <w:lang w:eastAsia="en-GB"/>
              </w:rPr>
              <w:t>44.617</w:t>
            </w:r>
          </w:p>
        </w:tc>
        <w:tc>
          <w:tcPr>
            <w:tcW w:w="1096" w:type="dxa"/>
            <w:tcBorders>
              <w:top w:val="nil"/>
              <w:left w:val="nil"/>
              <w:bottom w:val="single" w:sz="4" w:space="0" w:color="auto"/>
              <w:right w:val="single" w:sz="4" w:space="0" w:color="auto"/>
            </w:tcBorders>
            <w:shd w:val="clear" w:color="000000" w:fill="D9D9D9"/>
            <w:vAlign w:val="center"/>
            <w:hideMark/>
          </w:tcPr>
          <w:p w:rsidR="00E2507D" w:rsidRPr="003F4F72" w:rsidP="00E2507D">
            <w:pPr>
              <w:autoSpaceDE/>
              <w:autoSpaceDN/>
              <w:adjustRightInd/>
              <w:spacing w:after="0"/>
              <w:jc w:val="right"/>
              <w:rPr>
                <w:rFonts w:eastAsia="Times New Roman" w:cs="Arial"/>
                <w:b/>
                <w:bCs/>
                <w:lang w:eastAsia="en-GB"/>
              </w:rPr>
            </w:pPr>
            <w:r w:rsidRPr="003F4F72">
              <w:rPr>
                <w:rFonts w:cs="Arial"/>
                <w:b/>
                <w:bCs/>
              </w:rPr>
              <w:t>15.333</w:t>
            </w:r>
          </w:p>
        </w:tc>
        <w:tc>
          <w:tcPr>
            <w:tcW w:w="1217" w:type="dxa"/>
            <w:tcBorders>
              <w:top w:val="nil"/>
              <w:left w:val="nil"/>
              <w:bottom w:val="single" w:sz="4" w:space="0" w:color="auto"/>
              <w:right w:val="single" w:sz="4" w:space="0" w:color="auto"/>
            </w:tcBorders>
            <w:shd w:val="clear" w:color="000000" w:fill="D9D9D9"/>
            <w:vAlign w:val="center"/>
            <w:hideMark/>
          </w:tcPr>
          <w:p w:rsidR="00E2507D" w:rsidRPr="003F4F72" w:rsidP="00E2507D">
            <w:pPr>
              <w:autoSpaceDE/>
              <w:autoSpaceDN/>
              <w:adjustRightInd/>
              <w:spacing w:after="0"/>
              <w:jc w:val="right"/>
              <w:rPr>
                <w:rFonts w:eastAsia="Times New Roman" w:cs="Arial"/>
                <w:b/>
                <w:bCs/>
                <w:lang w:eastAsia="en-GB"/>
              </w:rPr>
            </w:pPr>
            <w:r w:rsidRPr="003F4F72">
              <w:rPr>
                <w:rFonts w:cs="Arial"/>
                <w:b/>
                <w:bCs/>
              </w:rPr>
              <w:t>-29.284</w:t>
            </w:r>
          </w:p>
        </w:tc>
        <w:tc>
          <w:tcPr>
            <w:tcW w:w="1217" w:type="dxa"/>
            <w:tcBorders>
              <w:top w:val="nil"/>
              <w:left w:val="single" w:sz="4" w:space="0" w:color="auto"/>
              <w:bottom w:val="single" w:sz="4" w:space="0" w:color="auto"/>
              <w:right w:val="single" w:sz="4" w:space="0" w:color="auto"/>
            </w:tcBorders>
            <w:shd w:val="clear" w:color="000000" w:fill="D9D9D9"/>
            <w:vAlign w:val="center"/>
          </w:tcPr>
          <w:p w:rsidR="00E2507D" w:rsidRPr="003F4F72" w:rsidP="00E2507D">
            <w:pPr>
              <w:autoSpaceDE/>
              <w:autoSpaceDN/>
              <w:adjustRightInd/>
              <w:spacing w:after="0"/>
              <w:jc w:val="right"/>
              <w:rPr>
                <w:rFonts w:cs="Arial"/>
                <w:b/>
                <w:bCs/>
              </w:rPr>
            </w:pPr>
            <w:r w:rsidRPr="003F4F72">
              <w:rPr>
                <w:rFonts w:cs="Arial"/>
                <w:b/>
                <w:bCs/>
              </w:rPr>
              <w:t>-65.63%</w:t>
            </w:r>
          </w:p>
        </w:tc>
        <w:tc>
          <w:tcPr>
            <w:tcW w:w="1217" w:type="dxa"/>
            <w:tcBorders>
              <w:top w:val="nil"/>
              <w:left w:val="single" w:sz="4" w:space="0" w:color="auto"/>
              <w:bottom w:val="single" w:sz="4" w:space="0" w:color="auto"/>
              <w:right w:val="single" w:sz="4" w:space="0" w:color="auto"/>
            </w:tcBorders>
            <w:shd w:val="clear" w:color="000000" w:fill="D9D9D9"/>
            <w:vAlign w:val="center"/>
            <w:hideMark/>
          </w:tcPr>
          <w:p w:rsidR="00E2507D" w:rsidRPr="003F4F72" w:rsidP="00E2507D">
            <w:pPr>
              <w:autoSpaceDE/>
              <w:autoSpaceDN/>
              <w:adjustRightInd/>
              <w:spacing w:after="0"/>
              <w:jc w:val="right"/>
              <w:rPr>
                <w:rFonts w:eastAsia="Times New Roman" w:cs="Arial"/>
                <w:b/>
                <w:bCs/>
                <w:lang w:eastAsia="en-GB"/>
              </w:rPr>
            </w:pPr>
            <w:r w:rsidRPr="003F4F72">
              <w:rPr>
                <w:rFonts w:cs="Arial"/>
                <w:b/>
                <w:bCs/>
              </w:rPr>
              <w:t>-28.793</w:t>
            </w:r>
          </w:p>
        </w:tc>
      </w:tr>
    </w:tbl>
    <w:p w:rsidR="00E2507D" w:rsidRPr="00506BBC" w:rsidP="00E2507D">
      <w:pPr>
        <w:autoSpaceDE/>
        <w:autoSpaceDN/>
        <w:adjustRightInd/>
        <w:spacing w:after="0"/>
        <w:rPr>
          <w:rFonts w:cs="Arial"/>
          <w:highlight w:val="yellow"/>
        </w:rPr>
      </w:pPr>
    </w:p>
    <w:p w:rsidR="00E2507D" w:rsidRPr="00A053B8" w:rsidP="00E2507D">
      <w:pPr>
        <w:spacing w:after="0"/>
        <w:rPr>
          <w:rFonts w:cs="Arial"/>
        </w:rPr>
      </w:pPr>
      <w:r w:rsidRPr="00A053B8">
        <w:rPr>
          <w:rFonts w:cs="Arial"/>
        </w:rPr>
        <w:t>Chief Executive Services have underspent by £29.284m. The underspend has increased by £491,000 compared to Quarter 3 Cabinet monitoring mainly as a result of increased underspends on pension liabilities.</w:t>
      </w:r>
    </w:p>
    <w:p w:rsidR="00E2507D" w:rsidRPr="00506BBC" w:rsidP="00E2507D">
      <w:pPr>
        <w:spacing w:after="0"/>
        <w:rPr>
          <w:rFonts w:cs="Arial"/>
          <w:highlight w:val="yellow"/>
        </w:rPr>
      </w:pPr>
    </w:p>
    <w:p w:rsidR="00E2507D" w:rsidRPr="00552426" w:rsidP="00E2507D">
      <w:pPr>
        <w:spacing w:after="0"/>
        <w:rPr>
          <w:rFonts w:cs="Arial"/>
          <w:b/>
        </w:rPr>
      </w:pPr>
      <w:r w:rsidRPr="00552426">
        <w:rPr>
          <w:rFonts w:cs="Arial"/>
          <w:b/>
        </w:rPr>
        <w:t xml:space="preserve">4.0.1 Chief Executive </w:t>
      </w:r>
    </w:p>
    <w:p w:rsidR="00E2507D" w:rsidP="00E2507D">
      <w:pPr>
        <w:spacing w:after="0"/>
        <w:rPr>
          <w:rFonts w:cs="Arial"/>
        </w:rPr>
      </w:pPr>
      <w:r>
        <w:rPr>
          <w:rFonts w:cs="Arial"/>
        </w:rPr>
        <w:t xml:space="preserve">The overspend of £211,000 is largely as a result of </w:t>
      </w:r>
      <w:r w:rsidRPr="000726E3">
        <w:rPr>
          <w:rFonts w:cs="Arial"/>
        </w:rPr>
        <w:t>consultancy and employee costs relating to the culture change project</w:t>
      </w:r>
      <w:r>
        <w:rPr>
          <w:rFonts w:cs="Arial"/>
        </w:rPr>
        <w:t>.</w:t>
      </w:r>
    </w:p>
    <w:p w:rsidR="00E2507D" w:rsidRPr="000726E3" w:rsidP="00E2507D">
      <w:pPr>
        <w:spacing w:after="0"/>
        <w:rPr>
          <w:rFonts w:cs="Arial"/>
        </w:rPr>
      </w:pPr>
    </w:p>
    <w:p w:rsidR="00E2507D" w:rsidRPr="00552426" w:rsidP="00E2507D">
      <w:pPr>
        <w:spacing w:after="0"/>
        <w:rPr>
          <w:rFonts w:cs="Arial"/>
          <w:b/>
        </w:rPr>
      </w:pPr>
      <w:r w:rsidRPr="00552426">
        <w:rPr>
          <w:rFonts w:cs="Arial"/>
          <w:b/>
        </w:rPr>
        <w:t xml:space="preserve">4.0.2 Communications </w:t>
      </w:r>
    </w:p>
    <w:p w:rsidR="00E2507D" w:rsidP="00E2507D">
      <w:pPr>
        <w:spacing w:after="0"/>
        <w:rPr>
          <w:rFonts w:cs="Arial"/>
        </w:rPr>
      </w:pPr>
      <w:r w:rsidRPr="000726E3">
        <w:rPr>
          <w:rFonts w:cs="Arial"/>
        </w:rPr>
        <w:t>The</w:t>
      </w:r>
      <w:r>
        <w:rPr>
          <w:rFonts w:cs="Arial"/>
        </w:rPr>
        <w:t>re is no significant budget variance in this area.</w:t>
      </w:r>
    </w:p>
    <w:p w:rsidR="00E2507D" w:rsidRPr="000726E3" w:rsidP="00E2507D">
      <w:pPr>
        <w:spacing w:after="0"/>
        <w:rPr>
          <w:rFonts w:cs="Arial"/>
        </w:rPr>
      </w:pPr>
    </w:p>
    <w:p w:rsidR="00E2507D" w:rsidP="00E2507D">
      <w:pPr>
        <w:spacing w:after="0"/>
        <w:rPr>
          <w:rFonts w:cs="Arial"/>
          <w:b/>
          <w:i/>
        </w:rPr>
      </w:pPr>
    </w:p>
    <w:p w:rsidR="00E2507D" w:rsidP="00E2507D">
      <w:pPr>
        <w:spacing w:after="0"/>
        <w:rPr>
          <w:rFonts w:cs="Arial"/>
          <w:b/>
          <w:i/>
        </w:rPr>
      </w:pPr>
    </w:p>
    <w:p w:rsidR="00E2507D" w:rsidRPr="00713DE3" w:rsidP="00E2507D">
      <w:pPr>
        <w:spacing w:after="0"/>
        <w:rPr>
          <w:rFonts w:cs="Arial"/>
        </w:rPr>
      </w:pPr>
      <w:r w:rsidRPr="00552426">
        <w:rPr>
          <w:rFonts w:cs="Arial"/>
          <w:b/>
        </w:rPr>
        <w:t>4.0.3 Corporate Budgets (Funding and Grants)</w:t>
      </w:r>
      <w:r w:rsidRPr="00713DE3">
        <w:rPr>
          <w:rFonts w:cs="Arial"/>
        </w:rPr>
        <w:t xml:space="preserve"> </w:t>
      </w:r>
    </w:p>
    <w:p w:rsidR="00E2507D" w:rsidP="00E2507D">
      <w:pPr>
        <w:spacing w:after="0"/>
        <w:rPr>
          <w:rFonts w:cs="Arial"/>
        </w:rPr>
      </w:pPr>
      <w:r>
        <w:rPr>
          <w:rFonts w:cs="Arial"/>
        </w:rPr>
        <w:t xml:space="preserve">The underspend of £2.266m </w:t>
      </w:r>
      <w:r w:rsidRPr="000726E3">
        <w:rPr>
          <w:rFonts w:cs="Arial"/>
        </w:rPr>
        <w:t>comprises of underspends of £2.096m on supplies and services and £0.170m ad</w:t>
      </w:r>
      <w:r>
        <w:rPr>
          <w:rFonts w:cs="Arial"/>
        </w:rPr>
        <w:t>ditional income</w:t>
      </w:r>
      <w:r w:rsidRPr="000726E3">
        <w:rPr>
          <w:rFonts w:cs="Arial"/>
        </w:rPr>
        <w:t>.</w:t>
      </w:r>
    </w:p>
    <w:p w:rsidR="00E2507D" w:rsidRPr="000726E3" w:rsidP="00E2507D">
      <w:pPr>
        <w:spacing w:after="0"/>
        <w:rPr>
          <w:rFonts w:cs="Arial"/>
        </w:rPr>
      </w:pPr>
    </w:p>
    <w:p w:rsidR="00E2507D" w:rsidRPr="00713DE3" w:rsidP="00E2507D">
      <w:pPr>
        <w:spacing w:after="0"/>
        <w:rPr>
          <w:rFonts w:cs="Arial"/>
        </w:rPr>
      </w:pPr>
      <w:r w:rsidRPr="00552426">
        <w:rPr>
          <w:rFonts w:cs="Arial"/>
          <w:b/>
        </w:rPr>
        <w:t>4.0.4 Corporate Budgets (Treasury Management)</w:t>
      </w:r>
      <w:r w:rsidRPr="00713DE3">
        <w:rPr>
          <w:rFonts w:cs="Arial"/>
        </w:rPr>
        <w:t xml:space="preserve"> </w:t>
      </w:r>
    </w:p>
    <w:p w:rsidR="00E2507D" w:rsidP="00E2507D">
      <w:pPr>
        <w:spacing w:after="0"/>
        <w:rPr>
          <w:rFonts w:cs="Arial"/>
        </w:rPr>
      </w:pPr>
      <w:r w:rsidRPr="000726E3">
        <w:rPr>
          <w:rFonts w:cs="Arial"/>
        </w:rPr>
        <w:t>The underspend</w:t>
      </w:r>
      <w:r w:rsidRPr="003654A3">
        <w:rPr>
          <w:rFonts w:cs="Arial"/>
        </w:rPr>
        <w:t xml:space="preserve"> of £22.888m</w:t>
      </w:r>
      <w:r w:rsidRPr="000726E3">
        <w:rPr>
          <w:rFonts w:cs="Arial"/>
        </w:rPr>
        <w:t xml:space="preserve"> is due to the gains on sales of gilts and bonds resulting from the significant volatility of</w:t>
      </w:r>
      <w:r>
        <w:rPr>
          <w:rFonts w:cs="Arial"/>
        </w:rPr>
        <w:t xml:space="preserve"> the market</w:t>
      </w:r>
      <w:r w:rsidRPr="000726E3">
        <w:rPr>
          <w:rFonts w:cs="Arial"/>
        </w:rPr>
        <w:t>.</w:t>
      </w:r>
    </w:p>
    <w:p w:rsidR="00E2507D" w:rsidRPr="000726E3" w:rsidP="00E2507D">
      <w:pPr>
        <w:spacing w:after="0"/>
        <w:rPr>
          <w:rFonts w:cs="Arial"/>
        </w:rPr>
      </w:pPr>
    </w:p>
    <w:p w:rsidR="00E2507D" w:rsidRPr="00506BBC" w:rsidP="00E2507D">
      <w:pPr>
        <w:spacing w:after="0"/>
        <w:rPr>
          <w:rFonts w:cs="Arial"/>
          <w:highlight w:val="yellow"/>
        </w:rPr>
      </w:pPr>
      <w:r w:rsidRPr="00552426">
        <w:rPr>
          <w:rFonts w:cs="Arial"/>
          <w:b/>
        </w:rPr>
        <w:t>4.0.4 Corporate Budgets (Pensions &amp; Apprenticeship Levy)</w:t>
      </w:r>
      <w:r>
        <w:rPr>
          <w:rFonts w:cs="Arial"/>
          <w:b/>
          <w:i/>
        </w:rPr>
        <w:t xml:space="preserve"> </w:t>
      </w:r>
      <w:r>
        <w:rPr>
          <w:rFonts w:cs="Arial"/>
        </w:rPr>
        <w:t>The reported</w:t>
      </w:r>
      <w:r w:rsidRPr="000726E3">
        <w:rPr>
          <w:rFonts w:cs="Arial"/>
        </w:rPr>
        <w:t xml:space="preserve"> underspend of £4.422m</w:t>
      </w:r>
      <w:r>
        <w:rPr>
          <w:rFonts w:cs="Arial"/>
        </w:rPr>
        <w:t xml:space="preserve"> has arisen largely due to a benefit derived from prepaying our pension contributions of £4.568m.</w:t>
      </w:r>
      <w:r w:rsidRPr="000726E3">
        <w:rPr>
          <w:rFonts w:cs="Arial"/>
        </w:rPr>
        <w:t xml:space="preserve"> </w:t>
      </w:r>
    </w:p>
    <w:p w:rsidR="00E2507D" w:rsidRPr="00506BBC" w:rsidP="00E2507D">
      <w:pPr>
        <w:spacing w:after="0"/>
        <w:rPr>
          <w:rFonts w:cs="Arial"/>
          <w:highlight w:val="yellow"/>
        </w:rPr>
      </w:pPr>
    </w:p>
    <w:p w:rsidR="00E2507D" w:rsidRPr="00506BBC" w:rsidP="00E2507D">
      <w:pPr>
        <w:spacing w:after="0"/>
        <w:rPr>
          <w:rFonts w:cs="Arial"/>
          <w:highlight w:val="yellow"/>
        </w:rPr>
      </w:pPr>
    </w:p>
    <w:p w:rsidR="00E2507D" w:rsidRPr="00506BBC" w:rsidP="00E2507D">
      <w:pPr>
        <w:spacing w:after="0"/>
        <w:rPr>
          <w:rFonts w:cs="Arial"/>
          <w:highlight w:val="yellow"/>
        </w:rPr>
      </w:pPr>
    </w:p>
    <w:p w:rsidR="00E2507D" w:rsidRPr="00506BBC" w:rsidP="00E2507D">
      <w:pPr>
        <w:spacing w:after="0"/>
        <w:rPr>
          <w:rFonts w:cs="Arial"/>
          <w:highlight w:val="yellow"/>
        </w:rPr>
      </w:pPr>
    </w:p>
    <w:p w:rsidR="00E2507D" w:rsidRPr="00506BBC" w:rsidP="00E2507D">
      <w:pPr>
        <w:spacing w:after="0"/>
        <w:rPr>
          <w:rFonts w:cs="Arial"/>
          <w:highlight w:val="yellow"/>
        </w:rPr>
      </w:pPr>
    </w:p>
    <w:p w:rsidR="00E2507D" w:rsidRPr="00506BBC" w:rsidP="00E2507D">
      <w:pPr>
        <w:spacing w:after="0"/>
        <w:rPr>
          <w:rFonts w:cs="Arial"/>
          <w:highlight w:val="yellow"/>
        </w:rPr>
      </w:pPr>
    </w:p>
    <w:p w:rsidR="00E2507D" w:rsidRPr="00506BBC" w:rsidP="00E2507D">
      <w:pPr>
        <w:spacing w:after="0"/>
        <w:rPr>
          <w:rFonts w:cs="Arial"/>
          <w:highlight w:val="yellow"/>
        </w:rPr>
      </w:pPr>
    </w:p>
    <w:p w:rsidR="00E2507D" w:rsidRPr="00506BBC" w:rsidP="00E2507D">
      <w:pPr>
        <w:spacing w:after="0"/>
        <w:rPr>
          <w:rFonts w:cs="Arial"/>
          <w:highlight w:val="yellow"/>
        </w:rPr>
      </w:pPr>
    </w:p>
    <w:p w:rsidR="00E2507D" w:rsidRPr="00506BBC" w:rsidP="00E2507D">
      <w:pPr>
        <w:spacing w:after="0"/>
        <w:rPr>
          <w:rFonts w:cs="Arial"/>
          <w:highlight w:val="yellow"/>
        </w:rPr>
      </w:pPr>
    </w:p>
    <w:p w:rsidR="00E2507D" w:rsidRPr="00506BBC" w:rsidP="00E2507D">
      <w:pPr>
        <w:spacing w:after="0"/>
        <w:rPr>
          <w:rFonts w:cs="Arial"/>
          <w:b/>
          <w:bCs/>
          <w:highlight w:val="yellow"/>
        </w:rPr>
      </w:pPr>
    </w:p>
    <w:p w:rsidR="00E2507D" w:rsidRPr="00506BBC" w:rsidP="00E2507D">
      <w:pPr>
        <w:spacing w:after="0"/>
        <w:rPr>
          <w:rFonts w:cs="Arial"/>
          <w:b/>
          <w:bCs/>
          <w:highlight w:val="yellow"/>
        </w:rPr>
      </w:pPr>
    </w:p>
    <w:p w:rsidR="00E2507D" w:rsidRPr="00506BBC" w:rsidP="00E2507D">
      <w:pPr>
        <w:spacing w:after="0"/>
        <w:rPr>
          <w:rFonts w:cs="Arial"/>
          <w:b/>
          <w:bCs/>
          <w:highlight w:val="yellow"/>
        </w:rPr>
      </w:pPr>
    </w:p>
    <w:p w:rsidR="00E2507D" w:rsidRPr="00506BBC" w:rsidP="00E2507D">
      <w:pPr>
        <w:spacing w:after="0"/>
        <w:rPr>
          <w:rFonts w:cs="Arial"/>
          <w:b/>
          <w:bCs/>
          <w:highlight w:val="yellow"/>
        </w:rPr>
      </w:pPr>
    </w:p>
    <w:p w:rsidR="00E2507D" w:rsidRPr="00506BBC" w:rsidP="00E2507D">
      <w:pPr>
        <w:spacing w:after="0"/>
        <w:rPr>
          <w:rFonts w:cs="Arial"/>
          <w:b/>
          <w:bCs/>
          <w:highlight w:val="yellow"/>
        </w:rPr>
      </w:pPr>
    </w:p>
    <w:p w:rsidR="00E2507D" w:rsidRPr="00506BBC" w:rsidP="00E2507D">
      <w:pPr>
        <w:spacing w:after="0"/>
        <w:rPr>
          <w:rFonts w:cs="Arial"/>
          <w:b/>
          <w:bCs/>
          <w:highlight w:val="yellow"/>
        </w:rPr>
      </w:pPr>
    </w:p>
    <w:p w:rsidR="00E2507D" w:rsidRPr="00506BBC" w:rsidP="00E2507D">
      <w:pPr>
        <w:spacing w:after="0"/>
        <w:rPr>
          <w:rFonts w:cs="Arial"/>
          <w:b/>
          <w:bCs/>
          <w:highlight w:val="yellow"/>
        </w:rPr>
      </w:pPr>
    </w:p>
    <w:p w:rsidR="00E2507D" w:rsidRPr="00506BBC" w:rsidP="00E2507D">
      <w:pPr>
        <w:spacing w:after="0"/>
        <w:rPr>
          <w:rFonts w:cs="Arial"/>
          <w:b/>
          <w:bCs/>
          <w:highlight w:val="yellow"/>
        </w:rPr>
      </w:pPr>
    </w:p>
    <w:p w:rsidR="00E2507D" w:rsidRPr="00506BBC" w:rsidP="00E2507D">
      <w:pPr>
        <w:spacing w:after="0"/>
        <w:rPr>
          <w:rFonts w:cs="Arial"/>
          <w:b/>
          <w:bCs/>
          <w:highlight w:val="yellow"/>
        </w:rPr>
      </w:pPr>
    </w:p>
    <w:p w:rsidR="00E2507D" w:rsidRPr="00506BBC" w:rsidP="00E2507D">
      <w:pPr>
        <w:spacing w:after="0"/>
        <w:rPr>
          <w:rFonts w:cs="Arial"/>
          <w:b/>
          <w:bCs/>
          <w:highlight w:val="yellow"/>
        </w:rPr>
      </w:pPr>
    </w:p>
    <w:p w:rsidR="00E2507D" w:rsidRPr="00506BBC" w:rsidP="00E2507D">
      <w:pPr>
        <w:spacing w:after="0"/>
        <w:rPr>
          <w:rFonts w:cs="Arial"/>
          <w:b/>
          <w:bCs/>
          <w:highlight w:val="yellow"/>
        </w:rPr>
      </w:pPr>
    </w:p>
    <w:p w:rsidR="00E2507D" w:rsidRPr="00506BBC" w:rsidP="00E2507D">
      <w:pPr>
        <w:spacing w:after="0"/>
        <w:rPr>
          <w:rFonts w:cs="Arial"/>
          <w:b/>
          <w:bCs/>
          <w:highlight w:val="yellow"/>
        </w:rPr>
      </w:pPr>
    </w:p>
    <w:p w:rsidR="00E2507D" w:rsidRPr="00506BBC" w:rsidP="00E2507D">
      <w:pPr>
        <w:spacing w:after="0"/>
        <w:rPr>
          <w:rFonts w:cs="Arial"/>
          <w:b/>
          <w:bCs/>
          <w:highlight w:val="yellow"/>
        </w:rPr>
      </w:pPr>
    </w:p>
    <w:p w:rsidR="00E2507D" w:rsidRPr="00506BBC" w:rsidP="00E2507D">
      <w:pPr>
        <w:spacing w:after="0"/>
        <w:rPr>
          <w:rFonts w:cs="Arial"/>
          <w:b/>
          <w:bCs/>
          <w:highlight w:val="yellow"/>
        </w:rPr>
      </w:pPr>
    </w:p>
    <w:p w:rsidR="00E2507D" w:rsidRPr="00506BBC" w:rsidP="00E2507D">
      <w:pPr>
        <w:spacing w:after="0"/>
        <w:rPr>
          <w:rFonts w:cs="Arial"/>
          <w:b/>
          <w:bCs/>
          <w:highlight w:val="yellow"/>
        </w:rPr>
      </w:pPr>
    </w:p>
    <w:p w:rsidR="00E2507D" w:rsidRPr="00506BBC" w:rsidP="00E2507D">
      <w:pPr>
        <w:spacing w:after="0"/>
        <w:rPr>
          <w:rFonts w:cs="Arial"/>
          <w:b/>
          <w:bCs/>
          <w:highlight w:val="yellow"/>
        </w:rPr>
      </w:pPr>
    </w:p>
    <w:p w:rsidR="00E2507D" w:rsidRPr="00506BBC" w:rsidP="00E2507D">
      <w:pPr>
        <w:spacing w:after="0"/>
        <w:jc w:val="left"/>
        <w:rPr>
          <w:rFonts w:eastAsia="Cambria" w:cs="Arial"/>
          <w:sz w:val="23"/>
          <w:szCs w:val="23"/>
          <w:highlight w:val="yellow"/>
          <w:lang w:eastAsia="en-GB"/>
        </w:rPr>
      </w:pPr>
    </w:p>
    <w:p w:rsidR="00E2507D" w:rsidRPr="00506BBC" w:rsidP="00E2507D">
      <w:pPr>
        <w:spacing w:after="0"/>
        <w:jc w:val="left"/>
        <w:rPr>
          <w:rFonts w:eastAsia="Cambria" w:cs="Arial"/>
          <w:sz w:val="23"/>
          <w:szCs w:val="23"/>
          <w:highlight w:val="yellow"/>
          <w:lang w:eastAsia="en-GB"/>
        </w:rPr>
      </w:pPr>
    </w:p>
    <w:p w:rsidR="00E2507D" w:rsidRPr="00506BBC" w:rsidP="00E2507D">
      <w:pPr>
        <w:spacing w:after="0"/>
        <w:jc w:val="left"/>
        <w:rPr>
          <w:rFonts w:eastAsia="Cambria" w:cs="Arial"/>
          <w:sz w:val="23"/>
          <w:szCs w:val="23"/>
          <w:highlight w:val="yellow"/>
          <w:lang w:eastAsia="en-GB"/>
        </w:rPr>
      </w:pPr>
    </w:p>
    <w:p w:rsidR="00E2507D" w:rsidRPr="00506BBC" w:rsidP="00E2507D">
      <w:pPr>
        <w:spacing w:after="0"/>
        <w:jc w:val="left"/>
        <w:rPr>
          <w:rFonts w:eastAsia="Cambria" w:cs="Arial"/>
          <w:sz w:val="23"/>
          <w:szCs w:val="23"/>
          <w:highlight w:val="yellow"/>
          <w:lang w:eastAsia="en-GB"/>
        </w:rPr>
      </w:pPr>
    </w:p>
    <w:p w:rsidR="00E2507D" w:rsidRPr="00506BBC" w:rsidP="00E2507D">
      <w:pPr>
        <w:spacing w:after="0"/>
        <w:jc w:val="left"/>
        <w:rPr>
          <w:rFonts w:eastAsia="Cambria" w:cs="Arial"/>
          <w:sz w:val="23"/>
          <w:szCs w:val="23"/>
          <w:highlight w:val="yellow"/>
          <w:lang w:eastAsia="en-GB"/>
        </w:rPr>
      </w:pPr>
    </w:p>
    <w:p w:rsidR="00E2507D" w:rsidRPr="00506BBC" w:rsidP="00E2507D">
      <w:pPr>
        <w:spacing w:after="0"/>
        <w:jc w:val="left"/>
        <w:rPr>
          <w:rFonts w:eastAsia="Cambria" w:cs="Arial"/>
          <w:sz w:val="23"/>
          <w:szCs w:val="23"/>
          <w:highlight w:val="yellow"/>
          <w:lang w:eastAsia="en-GB"/>
        </w:rPr>
      </w:pPr>
    </w:p>
    <w:p w:rsidR="00E2507D" w:rsidRPr="00506BBC" w:rsidP="00E2507D">
      <w:pPr>
        <w:spacing w:after="0"/>
        <w:jc w:val="left"/>
        <w:rPr>
          <w:rFonts w:eastAsia="Cambria" w:cs="Arial"/>
          <w:sz w:val="23"/>
          <w:szCs w:val="23"/>
          <w:highlight w:val="yellow"/>
          <w:lang w:eastAsia="en-GB"/>
        </w:rPr>
      </w:pPr>
    </w:p>
    <w:p w:rsidR="00E2507D" w:rsidRPr="00506BBC" w:rsidP="00E2507D">
      <w:pPr>
        <w:spacing w:after="0"/>
        <w:jc w:val="left"/>
        <w:rPr>
          <w:rFonts w:eastAsia="Cambria" w:cs="Arial"/>
          <w:sz w:val="23"/>
          <w:szCs w:val="23"/>
          <w:highlight w:val="yellow"/>
          <w:lang w:eastAsia="en-GB"/>
        </w:rPr>
      </w:pPr>
    </w:p>
    <w:p w:rsidR="00E2507D" w:rsidRPr="00506BBC" w:rsidP="00E2507D">
      <w:pPr>
        <w:spacing w:after="0"/>
        <w:jc w:val="left"/>
        <w:rPr>
          <w:rFonts w:eastAsia="Cambria" w:cs="Arial"/>
          <w:sz w:val="23"/>
          <w:szCs w:val="23"/>
          <w:highlight w:val="yellow"/>
          <w:lang w:eastAsia="en-GB"/>
        </w:rPr>
      </w:pPr>
    </w:p>
    <w:p w:rsidR="00E2507D" w:rsidRPr="00506BBC" w:rsidP="00E2507D">
      <w:pPr>
        <w:spacing w:after="0"/>
        <w:jc w:val="left"/>
        <w:rPr>
          <w:rFonts w:eastAsia="Cambria" w:cs="Arial"/>
          <w:sz w:val="23"/>
          <w:szCs w:val="23"/>
          <w:highlight w:val="yellow"/>
          <w:lang w:eastAsia="en-GB"/>
        </w:rPr>
      </w:pPr>
    </w:p>
    <w:p w:rsidR="00E2507D" w:rsidRPr="00506BBC" w:rsidP="00E2507D">
      <w:pPr>
        <w:spacing w:after="0"/>
        <w:jc w:val="left"/>
        <w:rPr>
          <w:rFonts w:eastAsia="Cambria" w:cs="Arial"/>
          <w:sz w:val="23"/>
          <w:szCs w:val="23"/>
          <w:highlight w:val="yellow"/>
          <w:lang w:eastAsia="en-GB"/>
        </w:rPr>
      </w:pPr>
    </w:p>
    <w:p w:rsidR="00E2507D" w:rsidRPr="00506BBC" w:rsidP="00E2507D">
      <w:pPr>
        <w:spacing w:after="0"/>
        <w:jc w:val="left"/>
        <w:rPr>
          <w:rFonts w:eastAsia="Cambria" w:cs="Arial"/>
          <w:sz w:val="23"/>
          <w:szCs w:val="23"/>
          <w:highlight w:val="yellow"/>
          <w:lang w:eastAsia="en-GB"/>
        </w:rPr>
      </w:pPr>
    </w:p>
    <w:p w:rsidR="00E2507D" w:rsidP="00E2507D">
      <w:pPr>
        <w:spacing w:after="0"/>
        <w:rPr>
          <w:rFonts w:cs="Arial"/>
          <w:b/>
          <w:bCs/>
        </w:rPr>
      </w:pPr>
      <w:r w:rsidRPr="00506BBC">
        <w:rPr>
          <w:rFonts w:cs="Arial"/>
          <w:b/>
          <w:bCs/>
          <w:highlight w:val="yellow"/>
        </w:rPr>
        <w:br w:type="page"/>
      </w:r>
      <w:r w:rsidRPr="00343516">
        <w:rPr>
          <w:rFonts w:cs="Arial"/>
          <w:b/>
          <w:bCs/>
        </w:rPr>
        <w:t>Section B - Schools Spending 2019/20</w:t>
      </w:r>
    </w:p>
    <w:p w:rsidR="00E2507D" w:rsidRPr="00343516" w:rsidP="00E2507D">
      <w:pPr>
        <w:spacing w:after="0"/>
        <w:rPr>
          <w:rFonts w:cs="Arial"/>
          <w:b/>
          <w:bCs/>
        </w:rPr>
      </w:pPr>
    </w:p>
    <w:p w:rsidR="00E2507D" w:rsidRPr="00343516" w:rsidP="00E2507D">
      <w:pPr>
        <w:spacing w:after="0"/>
        <w:rPr>
          <w:rFonts w:cs="Arial"/>
          <w:color w:val="D0CECE"/>
        </w:rPr>
      </w:pPr>
      <w:r w:rsidRPr="00343516">
        <w:rPr>
          <w:rFonts w:cs="Arial"/>
        </w:rPr>
        <w:t>The final outturn position against schools de</w:t>
      </w:r>
      <w:r>
        <w:rPr>
          <w:rFonts w:cs="Arial"/>
        </w:rPr>
        <w:t>legated budgets at 31 March 2020</w:t>
      </w:r>
      <w:r w:rsidRPr="00343516">
        <w:rPr>
          <w:rFonts w:cs="Arial"/>
        </w:rPr>
        <w:t xml:space="preserve"> is an underspend of £1.752m.  This means that school balances have </w:t>
      </w:r>
      <w:r>
        <w:rPr>
          <w:rFonts w:cs="Arial"/>
        </w:rPr>
        <w:t>increased</w:t>
      </w:r>
      <w:r w:rsidRPr="00343516">
        <w:rPr>
          <w:rFonts w:cs="Arial"/>
        </w:rPr>
        <w:t xml:space="preserve"> to a total of £47.319m.  </w:t>
      </w:r>
    </w:p>
    <w:p w:rsidR="00E2507D" w:rsidRPr="00343516" w:rsidP="00E2507D">
      <w:pPr>
        <w:spacing w:after="0"/>
        <w:rPr>
          <w:rFonts w:cs="Arial"/>
        </w:rPr>
      </w:pPr>
    </w:p>
    <w:p w:rsidR="00E2507D" w:rsidRPr="00343516" w:rsidP="00E2507D">
      <w:pPr>
        <w:spacing w:after="0"/>
        <w:rPr>
          <w:rFonts w:cs="Arial"/>
        </w:rPr>
      </w:pPr>
      <w:r w:rsidRPr="00343516">
        <w:rPr>
          <w:rFonts w:cs="Arial"/>
        </w:rPr>
        <w:t>The tables below show analysis of school balances by phase at the end of the financial year 2019/20.</w:t>
      </w:r>
    </w:p>
    <w:p w:rsidR="00E2507D" w:rsidRPr="00343516" w:rsidP="00E2507D">
      <w:pPr>
        <w:spacing w:after="0"/>
        <w:rPr>
          <w:rFonts w:cs="Arial"/>
        </w:rPr>
      </w:pPr>
    </w:p>
    <w:p w:rsidR="00E2507D" w:rsidRPr="00343516" w:rsidP="00E2507D">
      <w:pPr>
        <w:spacing w:after="0"/>
        <w:rPr>
          <w:rFonts w:cs="Arial"/>
          <w:b/>
        </w:rPr>
      </w:pPr>
      <w:r w:rsidRPr="00343516">
        <w:rPr>
          <w:rFonts w:cs="Arial"/>
          <w:b/>
        </w:rPr>
        <w:t>2019/20 School Balances - In-Year Movement of Balances by Phase</w:t>
      </w:r>
    </w:p>
    <w:p w:rsidR="00E2507D" w:rsidRPr="00343516" w:rsidP="00E2507D">
      <w:pPr>
        <w:spacing w:after="0"/>
        <w:rPr>
          <w:rFonts w:cs="Arial"/>
        </w:rPr>
      </w:pPr>
    </w:p>
    <w:tbl>
      <w:tblPr>
        <w:tblW w:w="9062" w:type="dxa"/>
        <w:tblLayout w:type="fixed"/>
        <w:tblCellMar>
          <w:left w:w="0" w:type="dxa"/>
          <w:right w:w="0" w:type="dxa"/>
        </w:tblCellMar>
        <w:tblLook w:val="04A0"/>
      </w:tblPr>
      <w:tblGrid>
        <w:gridCol w:w="2265"/>
        <w:gridCol w:w="2266"/>
        <w:gridCol w:w="2265"/>
        <w:gridCol w:w="2266"/>
      </w:tblGrid>
      <w:tr w:rsidTr="00E2507D">
        <w:tblPrEx>
          <w:tblW w:w="9062" w:type="dxa"/>
          <w:tblLayout w:type="fixed"/>
          <w:tblCellMar>
            <w:left w:w="0" w:type="dxa"/>
            <w:right w:w="0" w:type="dxa"/>
          </w:tblCellMar>
          <w:tblLook w:val="04A0"/>
        </w:tblPrEx>
        <w:trPr>
          <w:trHeight w:val="20"/>
        </w:trPr>
        <w:tc>
          <w:tcPr>
            <w:tcW w:w="2265" w:type="dxa"/>
            <w:tcBorders>
              <w:top w:val="single" w:sz="8" w:space="0" w:color="auto"/>
              <w:left w:val="single" w:sz="8" w:space="0" w:color="auto"/>
              <w:bottom w:val="nil"/>
              <w:right w:val="single" w:sz="8" w:space="0" w:color="auto"/>
            </w:tcBorders>
            <w:shd w:val="clear" w:color="auto" w:fill="auto"/>
            <w:vAlign w:val="center"/>
            <w:hideMark/>
          </w:tcPr>
          <w:p w:rsidR="00E2507D" w:rsidRPr="00343516" w:rsidP="00E2507D">
            <w:pPr>
              <w:spacing w:after="0"/>
              <w:jc w:val="center"/>
              <w:rPr>
                <w:rFonts w:cs="Arial"/>
                <w:b/>
                <w:bCs/>
              </w:rPr>
            </w:pPr>
            <w:r w:rsidRPr="00343516">
              <w:rPr>
                <w:rFonts w:cs="Arial"/>
                <w:b/>
                <w:bCs/>
              </w:rPr>
              <w:t>Phase</w:t>
            </w:r>
          </w:p>
        </w:tc>
        <w:tc>
          <w:tcPr>
            <w:tcW w:w="2266" w:type="dxa"/>
            <w:tcBorders>
              <w:top w:val="single" w:sz="8" w:space="0" w:color="auto"/>
              <w:left w:val="nil"/>
              <w:bottom w:val="nil"/>
              <w:right w:val="single" w:sz="8" w:space="0" w:color="auto"/>
            </w:tcBorders>
            <w:shd w:val="clear" w:color="auto" w:fill="auto"/>
            <w:vAlign w:val="center"/>
            <w:hideMark/>
          </w:tcPr>
          <w:p w:rsidR="00E2507D" w:rsidRPr="00343516" w:rsidP="00E2507D">
            <w:pPr>
              <w:spacing w:after="0"/>
              <w:jc w:val="center"/>
              <w:rPr>
                <w:rFonts w:cs="Arial"/>
                <w:b/>
                <w:bCs/>
              </w:rPr>
            </w:pPr>
            <w:r w:rsidRPr="00343516">
              <w:rPr>
                <w:rFonts w:cs="Arial"/>
                <w:b/>
                <w:bCs/>
              </w:rPr>
              <w:t xml:space="preserve">Balance Brought Forward as at </w:t>
            </w:r>
          </w:p>
          <w:p w:rsidR="00E2507D" w:rsidRPr="00343516" w:rsidP="00E2507D">
            <w:pPr>
              <w:spacing w:after="0"/>
              <w:jc w:val="center"/>
              <w:rPr>
                <w:rFonts w:cs="Arial"/>
                <w:b/>
                <w:bCs/>
              </w:rPr>
            </w:pPr>
            <w:r w:rsidRPr="00343516">
              <w:rPr>
                <w:rFonts w:cs="Arial"/>
                <w:b/>
                <w:bCs/>
              </w:rPr>
              <w:t>1 April 2019</w:t>
            </w:r>
          </w:p>
        </w:tc>
        <w:tc>
          <w:tcPr>
            <w:tcW w:w="2265" w:type="dxa"/>
            <w:tcBorders>
              <w:top w:val="single" w:sz="8" w:space="0" w:color="auto"/>
              <w:left w:val="nil"/>
              <w:bottom w:val="nil"/>
              <w:right w:val="single" w:sz="8" w:space="0" w:color="auto"/>
            </w:tcBorders>
            <w:shd w:val="clear" w:color="auto" w:fill="auto"/>
            <w:vAlign w:val="center"/>
            <w:hideMark/>
          </w:tcPr>
          <w:p w:rsidR="00E2507D" w:rsidRPr="00343516" w:rsidP="00E2507D">
            <w:pPr>
              <w:spacing w:after="0"/>
              <w:jc w:val="center"/>
              <w:rPr>
                <w:rFonts w:cs="Arial"/>
                <w:b/>
                <w:bCs/>
              </w:rPr>
            </w:pPr>
            <w:r w:rsidRPr="00343516">
              <w:rPr>
                <w:rFonts w:cs="Arial"/>
                <w:b/>
                <w:bCs/>
              </w:rPr>
              <w:t>Net Expenditure 2019/20</w:t>
            </w:r>
          </w:p>
        </w:tc>
        <w:tc>
          <w:tcPr>
            <w:tcW w:w="2266" w:type="dxa"/>
            <w:tcBorders>
              <w:top w:val="single" w:sz="8" w:space="0" w:color="auto"/>
              <w:left w:val="nil"/>
              <w:bottom w:val="nil"/>
              <w:right w:val="single" w:sz="8" w:space="0" w:color="auto"/>
            </w:tcBorders>
            <w:shd w:val="clear" w:color="auto" w:fill="auto"/>
            <w:vAlign w:val="center"/>
            <w:hideMark/>
          </w:tcPr>
          <w:p w:rsidR="00E2507D" w:rsidRPr="00343516" w:rsidP="00E2507D">
            <w:pPr>
              <w:spacing w:after="0"/>
              <w:jc w:val="center"/>
              <w:rPr>
                <w:rFonts w:cs="Arial"/>
                <w:b/>
                <w:bCs/>
              </w:rPr>
            </w:pPr>
            <w:r w:rsidRPr="00343516">
              <w:rPr>
                <w:rFonts w:cs="Arial"/>
                <w:b/>
                <w:bCs/>
              </w:rPr>
              <w:t>Balance Carried Forward as at</w:t>
            </w:r>
          </w:p>
          <w:p w:rsidR="00E2507D" w:rsidRPr="00343516" w:rsidP="00E2507D">
            <w:pPr>
              <w:spacing w:after="0"/>
              <w:jc w:val="center"/>
              <w:rPr>
                <w:rFonts w:cs="Arial"/>
                <w:b/>
                <w:bCs/>
              </w:rPr>
            </w:pPr>
            <w:r w:rsidRPr="00343516">
              <w:rPr>
                <w:rFonts w:cs="Arial"/>
                <w:b/>
                <w:bCs/>
              </w:rPr>
              <w:t>31 March 20</w:t>
            </w:r>
          </w:p>
        </w:tc>
      </w:tr>
      <w:tr w:rsidTr="00E2507D">
        <w:tblPrEx>
          <w:tblW w:w="9062" w:type="dxa"/>
          <w:tblLayout w:type="fixed"/>
          <w:tblCellMar>
            <w:left w:w="0" w:type="dxa"/>
            <w:right w:w="0" w:type="dxa"/>
          </w:tblCellMar>
          <w:tblLook w:val="04A0"/>
        </w:tblPrEx>
        <w:trPr>
          <w:trHeight w:val="340"/>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7D" w:rsidRPr="00343516" w:rsidP="00E2507D">
            <w:pPr>
              <w:spacing w:after="0"/>
              <w:rPr>
                <w:rFonts w:cs="Arial"/>
              </w:rPr>
            </w:pPr>
          </w:p>
        </w:tc>
        <w:tc>
          <w:tcPr>
            <w:tcW w:w="2266" w:type="dxa"/>
            <w:tcBorders>
              <w:top w:val="single" w:sz="4" w:space="0" w:color="auto"/>
              <w:left w:val="nil"/>
              <w:bottom w:val="single" w:sz="4" w:space="0" w:color="auto"/>
              <w:right w:val="single" w:sz="4" w:space="0" w:color="auto"/>
            </w:tcBorders>
            <w:shd w:val="clear" w:color="auto" w:fill="auto"/>
            <w:noWrap/>
            <w:vAlign w:val="center"/>
            <w:hideMark/>
          </w:tcPr>
          <w:p w:rsidR="00E2507D" w:rsidRPr="00343516" w:rsidP="00E2507D">
            <w:pPr>
              <w:spacing w:after="0"/>
              <w:jc w:val="center"/>
              <w:rPr>
                <w:rFonts w:cs="Arial"/>
                <w:b/>
                <w:bCs/>
              </w:rPr>
            </w:pPr>
            <w:r w:rsidRPr="00343516">
              <w:rPr>
                <w:rFonts w:cs="Arial"/>
                <w:b/>
                <w:bCs/>
              </w:rPr>
              <w:t>£m</w:t>
            </w:r>
          </w:p>
        </w:tc>
        <w:tc>
          <w:tcPr>
            <w:tcW w:w="2265" w:type="dxa"/>
            <w:tcBorders>
              <w:top w:val="single" w:sz="4" w:space="0" w:color="auto"/>
              <w:left w:val="nil"/>
              <w:bottom w:val="single" w:sz="4" w:space="0" w:color="auto"/>
              <w:right w:val="single" w:sz="4" w:space="0" w:color="auto"/>
            </w:tcBorders>
            <w:shd w:val="clear" w:color="auto" w:fill="auto"/>
            <w:noWrap/>
            <w:vAlign w:val="center"/>
            <w:hideMark/>
          </w:tcPr>
          <w:p w:rsidR="00E2507D" w:rsidRPr="00343516" w:rsidP="00E2507D">
            <w:pPr>
              <w:spacing w:after="0"/>
              <w:jc w:val="center"/>
              <w:rPr>
                <w:rFonts w:cs="Arial"/>
                <w:b/>
                <w:bCs/>
              </w:rPr>
            </w:pPr>
            <w:r w:rsidRPr="00343516">
              <w:rPr>
                <w:rFonts w:cs="Arial"/>
                <w:b/>
                <w:bCs/>
              </w:rPr>
              <w:t>£m</w:t>
            </w:r>
          </w:p>
        </w:tc>
        <w:tc>
          <w:tcPr>
            <w:tcW w:w="2266" w:type="dxa"/>
            <w:tcBorders>
              <w:top w:val="single" w:sz="4" w:space="0" w:color="auto"/>
              <w:left w:val="nil"/>
              <w:bottom w:val="single" w:sz="4" w:space="0" w:color="auto"/>
              <w:right w:val="single" w:sz="4" w:space="0" w:color="auto"/>
            </w:tcBorders>
            <w:shd w:val="clear" w:color="auto" w:fill="auto"/>
            <w:noWrap/>
            <w:vAlign w:val="center"/>
            <w:hideMark/>
          </w:tcPr>
          <w:p w:rsidR="00E2507D" w:rsidRPr="00343516" w:rsidP="00E2507D">
            <w:pPr>
              <w:spacing w:after="0"/>
              <w:jc w:val="center"/>
              <w:rPr>
                <w:rFonts w:cs="Arial"/>
                <w:b/>
                <w:bCs/>
              </w:rPr>
            </w:pPr>
            <w:r w:rsidRPr="00343516">
              <w:rPr>
                <w:rFonts w:cs="Arial"/>
                <w:b/>
                <w:bCs/>
              </w:rPr>
              <w:t>£m</w:t>
            </w:r>
          </w:p>
        </w:tc>
      </w:tr>
      <w:tr w:rsidTr="00E2507D">
        <w:tblPrEx>
          <w:tblW w:w="9062" w:type="dxa"/>
          <w:tblLayout w:type="fixed"/>
          <w:tblCellMar>
            <w:left w:w="0" w:type="dxa"/>
            <w:right w:w="0" w:type="dxa"/>
          </w:tblCellMar>
          <w:tblLook w:val="04A0"/>
        </w:tblPrEx>
        <w:trPr>
          <w:trHeight w:val="340"/>
        </w:trPr>
        <w:tc>
          <w:tcPr>
            <w:tcW w:w="2265" w:type="dxa"/>
            <w:tcBorders>
              <w:top w:val="nil"/>
              <w:left w:val="single" w:sz="4" w:space="0" w:color="auto"/>
              <w:bottom w:val="single" w:sz="4" w:space="0" w:color="auto"/>
              <w:right w:val="single" w:sz="4" w:space="0" w:color="auto"/>
            </w:tcBorders>
            <w:shd w:val="clear" w:color="auto" w:fill="auto"/>
            <w:noWrap/>
            <w:vAlign w:val="center"/>
            <w:hideMark/>
          </w:tcPr>
          <w:p w:rsidR="00E2507D" w:rsidRPr="00343516" w:rsidP="00E2507D">
            <w:pPr>
              <w:spacing w:after="0"/>
              <w:rPr>
                <w:rFonts w:cs="Arial"/>
              </w:rPr>
            </w:pPr>
            <w:r w:rsidRPr="00343516">
              <w:rPr>
                <w:rFonts w:cs="Arial"/>
              </w:rPr>
              <w:t>Nursery</w:t>
            </w:r>
          </w:p>
        </w:tc>
        <w:tc>
          <w:tcPr>
            <w:tcW w:w="2266" w:type="dxa"/>
            <w:tcBorders>
              <w:top w:val="nil"/>
              <w:left w:val="nil"/>
              <w:bottom w:val="single" w:sz="4" w:space="0" w:color="auto"/>
              <w:right w:val="single" w:sz="4" w:space="0" w:color="auto"/>
            </w:tcBorders>
            <w:shd w:val="clear" w:color="auto" w:fill="auto"/>
            <w:noWrap/>
            <w:vAlign w:val="bottom"/>
            <w:hideMark/>
          </w:tcPr>
          <w:p w:rsidR="00E2507D" w:rsidRPr="00343516" w:rsidP="00E2507D">
            <w:pPr>
              <w:spacing w:after="0"/>
              <w:jc w:val="center"/>
              <w:rPr>
                <w:rFonts w:cs="Arial"/>
              </w:rPr>
            </w:pPr>
            <w:r w:rsidRPr="00343516">
              <w:rPr>
                <w:rFonts w:cs="Arial"/>
              </w:rPr>
              <w:t>0.417</w:t>
            </w:r>
          </w:p>
        </w:tc>
        <w:tc>
          <w:tcPr>
            <w:tcW w:w="2265" w:type="dxa"/>
            <w:tcBorders>
              <w:top w:val="nil"/>
              <w:left w:val="nil"/>
              <w:bottom w:val="single" w:sz="4" w:space="0" w:color="auto"/>
              <w:right w:val="single" w:sz="4" w:space="0" w:color="auto"/>
            </w:tcBorders>
            <w:shd w:val="clear" w:color="auto" w:fill="auto"/>
            <w:noWrap/>
            <w:vAlign w:val="bottom"/>
          </w:tcPr>
          <w:p w:rsidR="00E2507D" w:rsidRPr="00343516" w:rsidP="00E2507D">
            <w:pPr>
              <w:spacing w:after="0"/>
              <w:jc w:val="center"/>
              <w:rPr>
                <w:rFonts w:cs="Arial"/>
              </w:rPr>
            </w:pPr>
            <w:r w:rsidRPr="00343516">
              <w:rPr>
                <w:rFonts w:cs="Arial"/>
                <w:color w:val="FF0000"/>
              </w:rPr>
              <w:t>-0.034</w:t>
            </w:r>
          </w:p>
        </w:tc>
        <w:tc>
          <w:tcPr>
            <w:tcW w:w="2266" w:type="dxa"/>
            <w:tcBorders>
              <w:top w:val="nil"/>
              <w:left w:val="nil"/>
              <w:bottom w:val="single" w:sz="4" w:space="0" w:color="auto"/>
              <w:right w:val="single" w:sz="4" w:space="0" w:color="auto"/>
            </w:tcBorders>
            <w:shd w:val="clear" w:color="auto" w:fill="auto"/>
            <w:noWrap/>
            <w:vAlign w:val="bottom"/>
          </w:tcPr>
          <w:p w:rsidR="00E2507D" w:rsidRPr="00343516" w:rsidP="00E2507D">
            <w:pPr>
              <w:spacing w:after="0"/>
              <w:jc w:val="center"/>
              <w:rPr>
                <w:rFonts w:cs="Arial"/>
              </w:rPr>
            </w:pPr>
            <w:r w:rsidRPr="00343516">
              <w:rPr>
                <w:rFonts w:cs="Arial"/>
              </w:rPr>
              <w:t>0.383</w:t>
            </w:r>
          </w:p>
        </w:tc>
      </w:tr>
      <w:tr w:rsidTr="00E2507D">
        <w:tblPrEx>
          <w:tblW w:w="9062" w:type="dxa"/>
          <w:tblLayout w:type="fixed"/>
          <w:tblCellMar>
            <w:left w:w="0" w:type="dxa"/>
            <w:right w:w="0" w:type="dxa"/>
          </w:tblCellMar>
          <w:tblLook w:val="04A0"/>
        </w:tblPrEx>
        <w:trPr>
          <w:trHeight w:val="340"/>
        </w:trPr>
        <w:tc>
          <w:tcPr>
            <w:tcW w:w="2265" w:type="dxa"/>
            <w:tcBorders>
              <w:top w:val="nil"/>
              <w:left w:val="single" w:sz="4" w:space="0" w:color="auto"/>
              <w:bottom w:val="single" w:sz="4" w:space="0" w:color="auto"/>
              <w:right w:val="single" w:sz="4" w:space="0" w:color="auto"/>
            </w:tcBorders>
            <w:shd w:val="clear" w:color="auto" w:fill="auto"/>
            <w:noWrap/>
            <w:vAlign w:val="center"/>
            <w:hideMark/>
          </w:tcPr>
          <w:p w:rsidR="00E2507D" w:rsidRPr="00343516" w:rsidP="00E2507D">
            <w:pPr>
              <w:spacing w:after="0"/>
              <w:rPr>
                <w:rFonts w:cs="Arial"/>
              </w:rPr>
            </w:pPr>
            <w:r w:rsidRPr="00343516">
              <w:rPr>
                <w:rFonts w:cs="Arial"/>
              </w:rPr>
              <w:t>Primary</w:t>
            </w:r>
          </w:p>
        </w:tc>
        <w:tc>
          <w:tcPr>
            <w:tcW w:w="2266" w:type="dxa"/>
            <w:tcBorders>
              <w:top w:val="nil"/>
              <w:left w:val="nil"/>
              <w:bottom w:val="single" w:sz="4" w:space="0" w:color="auto"/>
              <w:right w:val="single" w:sz="4" w:space="0" w:color="auto"/>
            </w:tcBorders>
            <w:shd w:val="clear" w:color="auto" w:fill="auto"/>
            <w:noWrap/>
            <w:vAlign w:val="bottom"/>
            <w:hideMark/>
          </w:tcPr>
          <w:p w:rsidR="00E2507D" w:rsidRPr="00343516" w:rsidP="00E2507D">
            <w:pPr>
              <w:spacing w:after="0"/>
              <w:jc w:val="center"/>
              <w:rPr>
                <w:rFonts w:cs="Arial"/>
              </w:rPr>
            </w:pPr>
            <w:r w:rsidRPr="00343516">
              <w:rPr>
                <w:rFonts w:cs="Arial"/>
              </w:rPr>
              <w:t>34.935</w:t>
            </w:r>
          </w:p>
        </w:tc>
        <w:tc>
          <w:tcPr>
            <w:tcW w:w="2265" w:type="dxa"/>
            <w:tcBorders>
              <w:top w:val="nil"/>
              <w:left w:val="nil"/>
              <w:bottom w:val="single" w:sz="4" w:space="0" w:color="auto"/>
              <w:right w:val="single" w:sz="4" w:space="0" w:color="auto"/>
            </w:tcBorders>
            <w:shd w:val="clear" w:color="auto" w:fill="auto"/>
            <w:noWrap/>
            <w:vAlign w:val="bottom"/>
          </w:tcPr>
          <w:p w:rsidR="00E2507D" w:rsidRPr="00343516" w:rsidP="00E2507D">
            <w:pPr>
              <w:spacing w:after="0"/>
              <w:jc w:val="center"/>
              <w:rPr>
                <w:rFonts w:cs="Arial"/>
              </w:rPr>
            </w:pPr>
            <w:r w:rsidRPr="00343516">
              <w:rPr>
                <w:rFonts w:cs="Arial"/>
              </w:rPr>
              <w:t>1.018</w:t>
            </w:r>
          </w:p>
        </w:tc>
        <w:tc>
          <w:tcPr>
            <w:tcW w:w="2266" w:type="dxa"/>
            <w:tcBorders>
              <w:top w:val="nil"/>
              <w:left w:val="nil"/>
              <w:bottom w:val="single" w:sz="4" w:space="0" w:color="auto"/>
              <w:right w:val="single" w:sz="4" w:space="0" w:color="auto"/>
            </w:tcBorders>
            <w:shd w:val="clear" w:color="auto" w:fill="auto"/>
            <w:noWrap/>
            <w:vAlign w:val="bottom"/>
          </w:tcPr>
          <w:p w:rsidR="00E2507D" w:rsidRPr="00343516" w:rsidP="00E2507D">
            <w:pPr>
              <w:spacing w:after="0"/>
              <w:jc w:val="center"/>
              <w:rPr>
                <w:rFonts w:cs="Arial"/>
              </w:rPr>
            </w:pPr>
            <w:r w:rsidRPr="00343516">
              <w:rPr>
                <w:rFonts w:cs="Arial"/>
              </w:rPr>
              <w:t>35.953</w:t>
            </w:r>
          </w:p>
        </w:tc>
      </w:tr>
      <w:tr w:rsidTr="00E2507D">
        <w:tblPrEx>
          <w:tblW w:w="9062" w:type="dxa"/>
          <w:tblLayout w:type="fixed"/>
          <w:tblCellMar>
            <w:left w:w="0" w:type="dxa"/>
            <w:right w:w="0" w:type="dxa"/>
          </w:tblCellMar>
          <w:tblLook w:val="04A0"/>
        </w:tblPrEx>
        <w:trPr>
          <w:trHeight w:val="340"/>
        </w:trPr>
        <w:tc>
          <w:tcPr>
            <w:tcW w:w="2265" w:type="dxa"/>
            <w:tcBorders>
              <w:top w:val="nil"/>
              <w:left w:val="single" w:sz="4" w:space="0" w:color="auto"/>
              <w:bottom w:val="single" w:sz="4" w:space="0" w:color="auto"/>
              <w:right w:val="single" w:sz="4" w:space="0" w:color="auto"/>
            </w:tcBorders>
            <w:shd w:val="clear" w:color="auto" w:fill="auto"/>
            <w:noWrap/>
            <w:vAlign w:val="center"/>
            <w:hideMark/>
          </w:tcPr>
          <w:p w:rsidR="00E2507D" w:rsidRPr="00343516" w:rsidP="00E2507D">
            <w:pPr>
              <w:spacing w:after="0"/>
              <w:rPr>
                <w:rFonts w:cs="Arial"/>
              </w:rPr>
            </w:pPr>
            <w:r w:rsidRPr="00343516">
              <w:rPr>
                <w:rFonts w:cs="Arial"/>
              </w:rPr>
              <w:t>Secondary</w:t>
            </w:r>
          </w:p>
        </w:tc>
        <w:tc>
          <w:tcPr>
            <w:tcW w:w="2266" w:type="dxa"/>
            <w:tcBorders>
              <w:top w:val="nil"/>
              <w:left w:val="nil"/>
              <w:bottom w:val="single" w:sz="4" w:space="0" w:color="auto"/>
              <w:right w:val="single" w:sz="4" w:space="0" w:color="auto"/>
            </w:tcBorders>
            <w:shd w:val="clear" w:color="auto" w:fill="auto"/>
            <w:noWrap/>
            <w:vAlign w:val="bottom"/>
            <w:hideMark/>
          </w:tcPr>
          <w:p w:rsidR="00E2507D" w:rsidRPr="00343516" w:rsidP="00E2507D">
            <w:pPr>
              <w:spacing w:after="0"/>
              <w:jc w:val="center"/>
              <w:rPr>
                <w:rFonts w:cs="Arial"/>
              </w:rPr>
            </w:pPr>
            <w:r w:rsidRPr="00343516">
              <w:rPr>
                <w:rFonts w:cs="Arial"/>
              </w:rPr>
              <w:t>6.283</w:t>
            </w:r>
          </w:p>
        </w:tc>
        <w:tc>
          <w:tcPr>
            <w:tcW w:w="2265" w:type="dxa"/>
            <w:tcBorders>
              <w:top w:val="nil"/>
              <w:left w:val="nil"/>
              <w:bottom w:val="single" w:sz="4" w:space="0" w:color="auto"/>
              <w:right w:val="single" w:sz="4" w:space="0" w:color="auto"/>
            </w:tcBorders>
            <w:shd w:val="clear" w:color="auto" w:fill="auto"/>
            <w:noWrap/>
            <w:vAlign w:val="bottom"/>
          </w:tcPr>
          <w:p w:rsidR="00E2507D" w:rsidRPr="00343516" w:rsidP="00E2507D">
            <w:pPr>
              <w:spacing w:after="0"/>
              <w:jc w:val="center"/>
              <w:rPr>
                <w:rFonts w:cs="Arial"/>
              </w:rPr>
            </w:pPr>
            <w:r w:rsidRPr="00343516">
              <w:rPr>
                <w:rFonts w:cs="Arial"/>
              </w:rPr>
              <w:t>1.376</w:t>
            </w:r>
          </w:p>
        </w:tc>
        <w:tc>
          <w:tcPr>
            <w:tcW w:w="2266" w:type="dxa"/>
            <w:tcBorders>
              <w:top w:val="nil"/>
              <w:left w:val="nil"/>
              <w:bottom w:val="single" w:sz="4" w:space="0" w:color="auto"/>
              <w:right w:val="single" w:sz="4" w:space="0" w:color="auto"/>
            </w:tcBorders>
            <w:shd w:val="clear" w:color="auto" w:fill="auto"/>
            <w:noWrap/>
            <w:vAlign w:val="bottom"/>
          </w:tcPr>
          <w:p w:rsidR="00E2507D" w:rsidRPr="00343516" w:rsidP="00E2507D">
            <w:pPr>
              <w:spacing w:after="0"/>
              <w:jc w:val="center"/>
              <w:rPr>
                <w:rFonts w:cs="Arial"/>
              </w:rPr>
            </w:pPr>
            <w:r w:rsidRPr="00343516">
              <w:rPr>
                <w:rFonts w:cs="Arial"/>
              </w:rPr>
              <w:t>7.659</w:t>
            </w:r>
          </w:p>
        </w:tc>
      </w:tr>
      <w:tr w:rsidTr="00E2507D">
        <w:tblPrEx>
          <w:tblW w:w="9062" w:type="dxa"/>
          <w:tblLayout w:type="fixed"/>
          <w:tblCellMar>
            <w:left w:w="0" w:type="dxa"/>
            <w:right w:w="0" w:type="dxa"/>
          </w:tblCellMar>
          <w:tblLook w:val="04A0"/>
        </w:tblPrEx>
        <w:trPr>
          <w:trHeight w:val="340"/>
        </w:trPr>
        <w:tc>
          <w:tcPr>
            <w:tcW w:w="2265" w:type="dxa"/>
            <w:tcBorders>
              <w:top w:val="nil"/>
              <w:left w:val="single" w:sz="4" w:space="0" w:color="auto"/>
              <w:bottom w:val="single" w:sz="4" w:space="0" w:color="auto"/>
              <w:right w:val="single" w:sz="4" w:space="0" w:color="auto"/>
            </w:tcBorders>
            <w:shd w:val="clear" w:color="auto" w:fill="auto"/>
            <w:noWrap/>
            <w:vAlign w:val="center"/>
            <w:hideMark/>
          </w:tcPr>
          <w:p w:rsidR="00E2507D" w:rsidRPr="00343516" w:rsidP="00E2507D">
            <w:pPr>
              <w:spacing w:after="0"/>
              <w:rPr>
                <w:rFonts w:cs="Arial"/>
              </w:rPr>
            </w:pPr>
            <w:r w:rsidRPr="00343516">
              <w:rPr>
                <w:rFonts w:cs="Arial"/>
              </w:rPr>
              <w:t>Special</w:t>
            </w:r>
          </w:p>
        </w:tc>
        <w:tc>
          <w:tcPr>
            <w:tcW w:w="2266" w:type="dxa"/>
            <w:tcBorders>
              <w:top w:val="nil"/>
              <w:left w:val="nil"/>
              <w:bottom w:val="single" w:sz="4" w:space="0" w:color="auto"/>
              <w:right w:val="single" w:sz="4" w:space="0" w:color="auto"/>
            </w:tcBorders>
            <w:shd w:val="clear" w:color="auto" w:fill="auto"/>
            <w:noWrap/>
            <w:vAlign w:val="bottom"/>
            <w:hideMark/>
          </w:tcPr>
          <w:p w:rsidR="00E2507D" w:rsidRPr="00343516" w:rsidP="00E2507D">
            <w:pPr>
              <w:spacing w:after="0"/>
              <w:jc w:val="center"/>
              <w:rPr>
                <w:rFonts w:cs="Arial"/>
              </w:rPr>
            </w:pPr>
            <w:r w:rsidRPr="00343516">
              <w:rPr>
                <w:rFonts w:cs="Arial"/>
              </w:rPr>
              <w:t>2.813</w:t>
            </w:r>
          </w:p>
        </w:tc>
        <w:tc>
          <w:tcPr>
            <w:tcW w:w="2265" w:type="dxa"/>
            <w:tcBorders>
              <w:top w:val="nil"/>
              <w:left w:val="nil"/>
              <w:bottom w:val="single" w:sz="4" w:space="0" w:color="auto"/>
              <w:right w:val="single" w:sz="4" w:space="0" w:color="auto"/>
            </w:tcBorders>
            <w:shd w:val="clear" w:color="auto" w:fill="auto"/>
            <w:noWrap/>
            <w:vAlign w:val="bottom"/>
          </w:tcPr>
          <w:p w:rsidR="00E2507D" w:rsidRPr="00343516" w:rsidP="00E2507D">
            <w:pPr>
              <w:spacing w:after="0"/>
              <w:jc w:val="center"/>
              <w:rPr>
                <w:rFonts w:cs="Arial"/>
              </w:rPr>
            </w:pPr>
            <w:r w:rsidRPr="00343516">
              <w:rPr>
                <w:rFonts w:cs="Arial"/>
                <w:color w:val="FF0000"/>
              </w:rPr>
              <w:t>-0.237</w:t>
            </w:r>
          </w:p>
        </w:tc>
        <w:tc>
          <w:tcPr>
            <w:tcW w:w="2266" w:type="dxa"/>
            <w:tcBorders>
              <w:top w:val="nil"/>
              <w:left w:val="nil"/>
              <w:bottom w:val="single" w:sz="4" w:space="0" w:color="auto"/>
              <w:right w:val="single" w:sz="4" w:space="0" w:color="auto"/>
            </w:tcBorders>
            <w:shd w:val="clear" w:color="auto" w:fill="auto"/>
            <w:noWrap/>
            <w:vAlign w:val="bottom"/>
          </w:tcPr>
          <w:p w:rsidR="00E2507D" w:rsidRPr="00343516" w:rsidP="00E2507D">
            <w:pPr>
              <w:spacing w:after="0"/>
              <w:jc w:val="center"/>
              <w:rPr>
                <w:rFonts w:cs="Arial"/>
              </w:rPr>
            </w:pPr>
            <w:r w:rsidRPr="00343516">
              <w:rPr>
                <w:rFonts w:cs="Arial"/>
              </w:rPr>
              <w:t>2.576</w:t>
            </w:r>
          </w:p>
        </w:tc>
      </w:tr>
      <w:tr w:rsidTr="00E2507D">
        <w:tblPrEx>
          <w:tblW w:w="9062" w:type="dxa"/>
          <w:tblLayout w:type="fixed"/>
          <w:tblCellMar>
            <w:left w:w="0" w:type="dxa"/>
            <w:right w:w="0" w:type="dxa"/>
          </w:tblCellMar>
          <w:tblLook w:val="04A0"/>
        </w:tblPrEx>
        <w:trPr>
          <w:trHeight w:val="340"/>
        </w:trPr>
        <w:tc>
          <w:tcPr>
            <w:tcW w:w="2265" w:type="dxa"/>
            <w:tcBorders>
              <w:top w:val="nil"/>
              <w:left w:val="single" w:sz="4" w:space="0" w:color="auto"/>
              <w:bottom w:val="single" w:sz="4" w:space="0" w:color="auto"/>
              <w:right w:val="single" w:sz="4" w:space="0" w:color="auto"/>
            </w:tcBorders>
            <w:shd w:val="clear" w:color="auto" w:fill="auto"/>
            <w:noWrap/>
            <w:vAlign w:val="center"/>
            <w:hideMark/>
          </w:tcPr>
          <w:p w:rsidR="00E2507D" w:rsidRPr="00343516" w:rsidP="00E2507D">
            <w:pPr>
              <w:spacing w:after="0"/>
              <w:rPr>
                <w:rFonts w:cs="Arial"/>
              </w:rPr>
            </w:pPr>
            <w:r w:rsidRPr="00343516">
              <w:rPr>
                <w:rFonts w:cs="Arial"/>
              </w:rPr>
              <w:t>PRU</w:t>
            </w:r>
          </w:p>
        </w:tc>
        <w:tc>
          <w:tcPr>
            <w:tcW w:w="2266" w:type="dxa"/>
            <w:tcBorders>
              <w:top w:val="nil"/>
              <w:left w:val="nil"/>
              <w:bottom w:val="single" w:sz="4" w:space="0" w:color="auto"/>
              <w:right w:val="single" w:sz="4" w:space="0" w:color="auto"/>
            </w:tcBorders>
            <w:shd w:val="clear" w:color="auto" w:fill="auto"/>
            <w:noWrap/>
            <w:vAlign w:val="bottom"/>
            <w:hideMark/>
          </w:tcPr>
          <w:p w:rsidR="00E2507D" w:rsidRPr="00343516" w:rsidP="00E2507D">
            <w:pPr>
              <w:spacing w:after="0"/>
              <w:jc w:val="center"/>
              <w:rPr>
                <w:rFonts w:cs="Arial"/>
              </w:rPr>
            </w:pPr>
            <w:r w:rsidRPr="00343516">
              <w:rPr>
                <w:rFonts w:cs="Arial"/>
              </w:rPr>
              <w:t>1.119</w:t>
            </w:r>
          </w:p>
        </w:tc>
        <w:tc>
          <w:tcPr>
            <w:tcW w:w="2265" w:type="dxa"/>
            <w:tcBorders>
              <w:top w:val="nil"/>
              <w:left w:val="nil"/>
              <w:bottom w:val="single" w:sz="4" w:space="0" w:color="auto"/>
              <w:right w:val="single" w:sz="4" w:space="0" w:color="auto"/>
            </w:tcBorders>
            <w:shd w:val="clear" w:color="auto" w:fill="auto"/>
            <w:noWrap/>
            <w:vAlign w:val="bottom"/>
          </w:tcPr>
          <w:p w:rsidR="00E2507D" w:rsidRPr="00343516" w:rsidP="00E2507D">
            <w:pPr>
              <w:spacing w:after="0"/>
              <w:jc w:val="center"/>
              <w:rPr>
                <w:rFonts w:cs="Arial"/>
              </w:rPr>
            </w:pPr>
            <w:r w:rsidRPr="00343516">
              <w:rPr>
                <w:rFonts w:cs="Arial"/>
                <w:color w:val="FF0000"/>
              </w:rPr>
              <w:t>-0.371</w:t>
            </w:r>
          </w:p>
        </w:tc>
        <w:tc>
          <w:tcPr>
            <w:tcW w:w="2266" w:type="dxa"/>
            <w:tcBorders>
              <w:top w:val="nil"/>
              <w:left w:val="nil"/>
              <w:bottom w:val="single" w:sz="4" w:space="0" w:color="auto"/>
              <w:right w:val="single" w:sz="4" w:space="0" w:color="auto"/>
            </w:tcBorders>
            <w:shd w:val="clear" w:color="auto" w:fill="auto"/>
            <w:noWrap/>
            <w:vAlign w:val="bottom"/>
          </w:tcPr>
          <w:p w:rsidR="00E2507D" w:rsidRPr="00343516" w:rsidP="00E2507D">
            <w:pPr>
              <w:spacing w:after="0"/>
              <w:jc w:val="center"/>
              <w:rPr>
                <w:rFonts w:cs="Arial"/>
              </w:rPr>
            </w:pPr>
            <w:r w:rsidRPr="00343516">
              <w:rPr>
                <w:rFonts w:cs="Arial"/>
              </w:rPr>
              <w:t>0.748</w:t>
            </w:r>
          </w:p>
        </w:tc>
      </w:tr>
      <w:tr w:rsidTr="00E2507D">
        <w:tblPrEx>
          <w:tblW w:w="9062" w:type="dxa"/>
          <w:tblLayout w:type="fixed"/>
          <w:tblCellMar>
            <w:left w:w="0" w:type="dxa"/>
            <w:right w:w="0" w:type="dxa"/>
          </w:tblCellMar>
          <w:tblLook w:val="04A0"/>
        </w:tblPrEx>
        <w:trPr>
          <w:trHeight w:val="340"/>
        </w:trPr>
        <w:tc>
          <w:tcPr>
            <w:tcW w:w="2265" w:type="dxa"/>
            <w:tcBorders>
              <w:top w:val="nil"/>
              <w:left w:val="single" w:sz="4" w:space="0" w:color="auto"/>
              <w:bottom w:val="single" w:sz="4" w:space="0" w:color="auto"/>
              <w:right w:val="single" w:sz="4" w:space="0" w:color="auto"/>
            </w:tcBorders>
            <w:shd w:val="clear" w:color="auto" w:fill="auto"/>
            <w:noWrap/>
            <w:vAlign w:val="center"/>
            <w:hideMark/>
          </w:tcPr>
          <w:p w:rsidR="00E2507D" w:rsidRPr="00343516" w:rsidP="00E2507D">
            <w:pPr>
              <w:spacing w:after="0"/>
              <w:rPr>
                <w:rFonts w:cs="Arial"/>
                <w:b/>
              </w:rPr>
            </w:pPr>
            <w:r w:rsidRPr="00343516">
              <w:rPr>
                <w:rFonts w:cs="Arial"/>
                <w:b/>
              </w:rPr>
              <w:t>Total</w:t>
            </w:r>
          </w:p>
        </w:tc>
        <w:tc>
          <w:tcPr>
            <w:tcW w:w="2266" w:type="dxa"/>
            <w:tcBorders>
              <w:top w:val="nil"/>
              <w:left w:val="nil"/>
              <w:bottom w:val="single" w:sz="4" w:space="0" w:color="auto"/>
              <w:right w:val="single" w:sz="4" w:space="0" w:color="auto"/>
            </w:tcBorders>
            <w:shd w:val="clear" w:color="auto" w:fill="auto"/>
            <w:noWrap/>
            <w:vAlign w:val="bottom"/>
            <w:hideMark/>
          </w:tcPr>
          <w:p w:rsidR="00E2507D" w:rsidRPr="00343516" w:rsidP="00E2507D">
            <w:pPr>
              <w:spacing w:after="0"/>
              <w:jc w:val="center"/>
              <w:rPr>
                <w:rFonts w:cs="Arial"/>
                <w:b/>
              </w:rPr>
            </w:pPr>
            <w:r w:rsidRPr="00343516">
              <w:rPr>
                <w:rFonts w:cs="Arial"/>
                <w:b/>
              </w:rPr>
              <w:t>45.567</w:t>
            </w:r>
          </w:p>
        </w:tc>
        <w:tc>
          <w:tcPr>
            <w:tcW w:w="2265" w:type="dxa"/>
            <w:tcBorders>
              <w:top w:val="nil"/>
              <w:left w:val="nil"/>
              <w:bottom w:val="single" w:sz="4" w:space="0" w:color="auto"/>
              <w:right w:val="single" w:sz="4" w:space="0" w:color="auto"/>
            </w:tcBorders>
            <w:shd w:val="clear" w:color="auto" w:fill="auto"/>
            <w:noWrap/>
            <w:vAlign w:val="bottom"/>
          </w:tcPr>
          <w:p w:rsidR="00E2507D" w:rsidRPr="00343516" w:rsidP="00E2507D">
            <w:pPr>
              <w:spacing w:after="0"/>
              <w:jc w:val="center"/>
              <w:rPr>
                <w:rFonts w:cs="Arial"/>
                <w:b/>
              </w:rPr>
            </w:pPr>
            <w:r w:rsidRPr="00343516">
              <w:rPr>
                <w:rFonts w:cs="Arial"/>
                <w:b/>
              </w:rPr>
              <w:t>1.752</w:t>
            </w:r>
          </w:p>
        </w:tc>
        <w:tc>
          <w:tcPr>
            <w:tcW w:w="2266" w:type="dxa"/>
            <w:tcBorders>
              <w:top w:val="nil"/>
              <w:left w:val="nil"/>
              <w:bottom w:val="single" w:sz="4" w:space="0" w:color="auto"/>
              <w:right w:val="single" w:sz="4" w:space="0" w:color="auto"/>
            </w:tcBorders>
            <w:shd w:val="clear" w:color="auto" w:fill="auto"/>
            <w:noWrap/>
            <w:vAlign w:val="bottom"/>
          </w:tcPr>
          <w:p w:rsidR="00E2507D" w:rsidRPr="00343516" w:rsidP="00E2507D">
            <w:pPr>
              <w:spacing w:after="0"/>
              <w:jc w:val="center"/>
              <w:rPr>
                <w:rFonts w:cs="Arial"/>
                <w:b/>
              </w:rPr>
            </w:pPr>
            <w:r w:rsidRPr="00343516">
              <w:rPr>
                <w:rFonts w:cs="Arial"/>
                <w:b/>
              </w:rPr>
              <w:t>47.319</w:t>
            </w:r>
          </w:p>
        </w:tc>
      </w:tr>
    </w:tbl>
    <w:p w:rsidR="00E2507D" w:rsidRPr="00343516" w:rsidP="00E2507D">
      <w:pPr>
        <w:spacing w:after="0"/>
        <w:rPr>
          <w:rFonts w:cs="Arial"/>
        </w:rPr>
      </w:pPr>
    </w:p>
    <w:p w:rsidR="00E2507D" w:rsidRPr="00343516" w:rsidP="00E2507D">
      <w:pPr>
        <w:spacing w:after="0"/>
        <w:rPr>
          <w:rFonts w:cs="Arial"/>
        </w:rPr>
      </w:pPr>
      <w:r w:rsidRPr="00343516">
        <w:rPr>
          <w:rFonts w:cs="Arial"/>
        </w:rPr>
        <w:t xml:space="preserve">The outturn position shows an increase in the aggregate level of school balances at 31 March 2020 to £47.319.  </w:t>
      </w:r>
    </w:p>
    <w:p w:rsidR="00E2507D" w:rsidRPr="00343516" w:rsidP="00E2507D">
      <w:pPr>
        <w:spacing w:after="0"/>
        <w:rPr>
          <w:rFonts w:cs="Arial"/>
        </w:rPr>
      </w:pPr>
    </w:p>
    <w:p w:rsidR="00E2507D" w:rsidRPr="00343516" w:rsidP="00E2507D">
      <w:pPr>
        <w:spacing w:after="0"/>
        <w:rPr>
          <w:rFonts w:cs="Arial"/>
        </w:rPr>
      </w:pPr>
      <w:r w:rsidRPr="00343516">
        <w:rPr>
          <w:rFonts w:cs="Arial"/>
        </w:rPr>
        <w:t xml:space="preserve">The overall financial environment facing schools remained challenging in 2019/20 and the aggregate net expenditure position only returned to a positive figure due </w:t>
      </w:r>
      <w:r>
        <w:rPr>
          <w:rFonts w:cs="Arial"/>
        </w:rPr>
        <w:t xml:space="preserve">to </w:t>
      </w:r>
      <w:r w:rsidRPr="00343516">
        <w:rPr>
          <w:rFonts w:cs="Arial"/>
        </w:rPr>
        <w:t>vari</w:t>
      </w:r>
      <w:r>
        <w:rPr>
          <w:rFonts w:cs="Arial"/>
        </w:rPr>
        <w:t>ous adjustments including,</w:t>
      </w:r>
      <w:r w:rsidRPr="00343516">
        <w:rPr>
          <w:rFonts w:cs="Arial"/>
        </w:rPr>
        <w:t xml:space="preserve"> the closure or academisation of schools with lar</w:t>
      </w:r>
      <w:r>
        <w:rPr>
          <w:rFonts w:cs="Arial"/>
        </w:rPr>
        <w:t>ge deficit balances which as a result</w:t>
      </w:r>
      <w:r w:rsidRPr="00343516">
        <w:rPr>
          <w:rFonts w:cs="Arial"/>
        </w:rPr>
        <w:t xml:space="preserve"> no long</w:t>
      </w:r>
      <w:r>
        <w:rPr>
          <w:rFonts w:cs="Arial"/>
        </w:rPr>
        <w:t xml:space="preserve">er contribute the </w:t>
      </w:r>
      <w:r w:rsidRPr="00343516">
        <w:rPr>
          <w:rFonts w:cs="Arial"/>
        </w:rPr>
        <w:t>school balances year end position.  The net position relating to maintained schools that remain open at 31 March 2020 was an overspend of some £0.217m.  Further information on this issue is provided later in this report.</w:t>
      </w:r>
    </w:p>
    <w:p w:rsidR="00E2507D" w:rsidRPr="00343516" w:rsidP="00E2507D">
      <w:pPr>
        <w:spacing w:after="0"/>
        <w:rPr>
          <w:rFonts w:cs="Arial"/>
        </w:rPr>
      </w:pPr>
    </w:p>
    <w:p w:rsidR="00E2507D" w:rsidRPr="00343516" w:rsidP="00E2507D">
      <w:pPr>
        <w:spacing w:after="0"/>
        <w:rPr>
          <w:rFonts w:cs="Arial"/>
        </w:rPr>
      </w:pPr>
      <w:r w:rsidRPr="00343516">
        <w:rPr>
          <w:rFonts w:cs="Arial"/>
        </w:rPr>
        <w:t xml:space="preserve">A reduction in the level of balances held at March 2020 has been seen across nursery schools, special schools and PRUs and the secondary figure is only in surplus for the reasons stated above.  This position reflects the ongoing pressure on school funding, where Dedicated Schools Grant (DSG) income has, for a number of years, been cash flat, or has not kept pace with inflation.  </w:t>
      </w:r>
    </w:p>
    <w:p w:rsidR="00E2507D" w:rsidRPr="00343516" w:rsidP="00E2507D">
      <w:pPr>
        <w:spacing w:after="0"/>
        <w:rPr>
          <w:rFonts w:cs="Arial"/>
        </w:rPr>
      </w:pPr>
    </w:p>
    <w:p w:rsidR="00E2507D" w:rsidRPr="00343516" w:rsidP="00E2507D">
      <w:pPr>
        <w:spacing w:after="0"/>
        <w:rPr>
          <w:rFonts w:cs="Arial"/>
        </w:rPr>
      </w:pPr>
      <w:r w:rsidRPr="00343516">
        <w:rPr>
          <w:rFonts w:cs="Arial"/>
        </w:rPr>
        <w:t>Increased levels of funding have been made available in the DSG for 2020/21 and the impact this may have on school balances will be kept under review.</w:t>
      </w:r>
    </w:p>
    <w:p w:rsidR="00E2507D" w:rsidP="00E2507D">
      <w:pPr>
        <w:spacing w:after="0"/>
        <w:rPr>
          <w:rFonts w:cs="Arial"/>
          <w:b/>
        </w:rPr>
      </w:pPr>
    </w:p>
    <w:p w:rsidR="00E2507D" w:rsidP="00E2507D">
      <w:pPr>
        <w:spacing w:after="0"/>
        <w:rPr>
          <w:rFonts w:cs="Arial"/>
          <w:b/>
        </w:rPr>
      </w:pPr>
    </w:p>
    <w:p w:rsidR="00E2507D" w:rsidP="00E2507D">
      <w:pPr>
        <w:spacing w:after="0"/>
        <w:rPr>
          <w:rFonts w:cs="Arial"/>
          <w:b/>
        </w:rPr>
      </w:pPr>
    </w:p>
    <w:p w:rsidR="00E2507D" w:rsidP="00E2507D">
      <w:pPr>
        <w:spacing w:after="0"/>
        <w:rPr>
          <w:rFonts w:cs="Arial"/>
          <w:b/>
        </w:rPr>
      </w:pPr>
    </w:p>
    <w:p w:rsidR="00E2507D" w:rsidP="00E2507D">
      <w:pPr>
        <w:spacing w:after="0"/>
        <w:rPr>
          <w:rFonts w:cs="Arial"/>
          <w:b/>
        </w:rPr>
      </w:pPr>
    </w:p>
    <w:p w:rsidR="00E2507D" w:rsidP="00E2507D">
      <w:pPr>
        <w:spacing w:after="0"/>
        <w:rPr>
          <w:rFonts w:cs="Arial"/>
          <w:b/>
        </w:rPr>
      </w:pPr>
    </w:p>
    <w:p w:rsidR="00E2507D" w:rsidP="00E2507D">
      <w:pPr>
        <w:spacing w:after="0"/>
        <w:rPr>
          <w:rFonts w:cs="Arial"/>
          <w:b/>
        </w:rPr>
      </w:pPr>
    </w:p>
    <w:p w:rsidR="00E2507D" w:rsidP="00E2507D">
      <w:pPr>
        <w:spacing w:after="0"/>
        <w:rPr>
          <w:rFonts w:cs="Arial"/>
          <w:b/>
        </w:rPr>
      </w:pPr>
    </w:p>
    <w:p w:rsidR="00E2507D" w:rsidP="00E2507D">
      <w:pPr>
        <w:spacing w:after="0"/>
        <w:rPr>
          <w:rFonts w:cs="Arial"/>
          <w:b/>
        </w:rPr>
      </w:pPr>
    </w:p>
    <w:p w:rsidR="00E2507D" w:rsidP="00E2507D">
      <w:pPr>
        <w:spacing w:after="0"/>
        <w:rPr>
          <w:rFonts w:cs="Arial"/>
          <w:b/>
        </w:rPr>
      </w:pPr>
    </w:p>
    <w:p w:rsidR="00E2507D" w:rsidRPr="00343516" w:rsidP="00E2507D">
      <w:pPr>
        <w:spacing w:after="0"/>
        <w:rPr>
          <w:rFonts w:cs="Arial"/>
          <w:b/>
        </w:rPr>
      </w:pPr>
      <w:r w:rsidRPr="00343516">
        <w:rPr>
          <w:rFonts w:cs="Arial"/>
          <w:b/>
        </w:rPr>
        <w:t>2019/20 School Balances –In-Year Movement Count of Schools by Phase</w:t>
      </w:r>
    </w:p>
    <w:p w:rsidR="00E2507D" w:rsidRPr="00343516" w:rsidP="00E2507D">
      <w:pPr>
        <w:spacing w:after="0"/>
        <w:rPr>
          <w:rFonts w:cs="Arial"/>
        </w:rPr>
      </w:pPr>
    </w:p>
    <w:tbl>
      <w:tblPr>
        <w:tblW w:w="9062" w:type="dxa"/>
        <w:tblLayout w:type="fixed"/>
        <w:tblLook w:val="04A0"/>
      </w:tblPr>
      <w:tblGrid>
        <w:gridCol w:w="2542"/>
        <w:gridCol w:w="3260"/>
        <w:gridCol w:w="3260"/>
      </w:tblGrid>
      <w:tr w:rsidTr="00E2507D">
        <w:tblPrEx>
          <w:tblW w:w="9062" w:type="dxa"/>
          <w:tblLayout w:type="fixed"/>
          <w:tblLook w:val="04A0"/>
        </w:tblPrEx>
        <w:trPr>
          <w:trHeight w:val="340"/>
        </w:trPr>
        <w:tc>
          <w:tcPr>
            <w:tcW w:w="2542" w:type="dxa"/>
            <w:tcBorders>
              <w:top w:val="single" w:sz="8" w:space="0" w:color="auto"/>
              <w:left w:val="single" w:sz="8" w:space="0" w:color="auto"/>
              <w:bottom w:val="nil"/>
              <w:right w:val="single" w:sz="8" w:space="0" w:color="auto"/>
            </w:tcBorders>
            <w:shd w:val="clear" w:color="auto" w:fill="auto"/>
            <w:vAlign w:val="center"/>
            <w:hideMark/>
          </w:tcPr>
          <w:p w:rsidR="00E2507D" w:rsidRPr="00343516" w:rsidP="00E2507D">
            <w:pPr>
              <w:spacing w:after="0"/>
              <w:jc w:val="center"/>
              <w:rPr>
                <w:rFonts w:cs="Arial"/>
                <w:b/>
                <w:bCs/>
              </w:rPr>
            </w:pPr>
            <w:r w:rsidRPr="00343516">
              <w:rPr>
                <w:rFonts w:cs="Arial"/>
                <w:b/>
                <w:bCs/>
              </w:rPr>
              <w:t>Phase</w:t>
            </w:r>
          </w:p>
        </w:tc>
        <w:tc>
          <w:tcPr>
            <w:tcW w:w="3260" w:type="dxa"/>
            <w:tcBorders>
              <w:top w:val="single" w:sz="8" w:space="0" w:color="auto"/>
              <w:left w:val="nil"/>
              <w:bottom w:val="nil"/>
              <w:right w:val="single" w:sz="8" w:space="0" w:color="auto"/>
            </w:tcBorders>
            <w:shd w:val="clear" w:color="auto" w:fill="auto"/>
            <w:vAlign w:val="center"/>
            <w:hideMark/>
          </w:tcPr>
          <w:p w:rsidR="00E2507D" w:rsidRPr="00343516" w:rsidP="00E2507D">
            <w:pPr>
              <w:spacing w:after="0"/>
              <w:jc w:val="center"/>
              <w:rPr>
                <w:rFonts w:cs="Arial"/>
                <w:b/>
                <w:bCs/>
              </w:rPr>
            </w:pPr>
            <w:r w:rsidRPr="00343516">
              <w:rPr>
                <w:rFonts w:cs="Arial"/>
                <w:b/>
                <w:bCs/>
              </w:rPr>
              <w:t>Count of deficit in year</w:t>
            </w:r>
          </w:p>
        </w:tc>
        <w:tc>
          <w:tcPr>
            <w:tcW w:w="3260" w:type="dxa"/>
            <w:tcBorders>
              <w:top w:val="single" w:sz="8" w:space="0" w:color="auto"/>
              <w:left w:val="nil"/>
              <w:bottom w:val="nil"/>
              <w:right w:val="single" w:sz="8" w:space="0" w:color="auto"/>
            </w:tcBorders>
            <w:shd w:val="clear" w:color="auto" w:fill="auto"/>
            <w:vAlign w:val="center"/>
            <w:hideMark/>
          </w:tcPr>
          <w:p w:rsidR="00E2507D" w:rsidRPr="00343516" w:rsidP="00E2507D">
            <w:pPr>
              <w:spacing w:after="0"/>
              <w:jc w:val="center"/>
              <w:rPr>
                <w:rFonts w:cs="Arial"/>
                <w:b/>
                <w:bCs/>
              </w:rPr>
            </w:pPr>
            <w:r w:rsidRPr="00343516">
              <w:rPr>
                <w:rFonts w:cs="Arial"/>
                <w:b/>
                <w:bCs/>
              </w:rPr>
              <w:t>Count of surplus in year</w:t>
            </w:r>
          </w:p>
        </w:tc>
      </w:tr>
      <w:tr w:rsidTr="00E2507D">
        <w:tblPrEx>
          <w:tblW w:w="9062" w:type="dxa"/>
          <w:tblLayout w:type="fixed"/>
          <w:tblLook w:val="04A0"/>
        </w:tblPrEx>
        <w:trPr>
          <w:trHeight w:val="340"/>
        </w:trPr>
        <w:tc>
          <w:tcPr>
            <w:tcW w:w="2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7D" w:rsidRPr="00343516" w:rsidP="00E2507D">
            <w:pPr>
              <w:spacing w:after="0"/>
              <w:rPr>
                <w:rFonts w:cs="Arial"/>
              </w:rPr>
            </w:pPr>
            <w:r w:rsidRPr="00343516">
              <w:rPr>
                <w:rFonts w:cs="Arial"/>
              </w:rPr>
              <w:t>Nursery</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E2507D" w:rsidRPr="00343516" w:rsidP="00E2507D">
            <w:pPr>
              <w:spacing w:after="0"/>
              <w:jc w:val="center"/>
              <w:rPr>
                <w:rFonts w:cs="Arial"/>
              </w:rPr>
            </w:pPr>
            <w:r w:rsidRPr="00343516">
              <w:rPr>
                <w:rFonts w:cs="Arial"/>
              </w:rPr>
              <w:t>11</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E2507D" w:rsidRPr="00343516" w:rsidP="00E2507D">
            <w:pPr>
              <w:spacing w:after="0"/>
              <w:jc w:val="center"/>
              <w:rPr>
                <w:rFonts w:cs="Arial"/>
              </w:rPr>
            </w:pPr>
            <w:r w:rsidRPr="00343516">
              <w:rPr>
                <w:rFonts w:cs="Arial"/>
              </w:rPr>
              <w:t>13</w:t>
            </w:r>
          </w:p>
        </w:tc>
      </w:tr>
      <w:tr w:rsidTr="00E2507D">
        <w:tblPrEx>
          <w:tblW w:w="9062" w:type="dxa"/>
          <w:tblLayout w:type="fixed"/>
          <w:tblLook w:val="04A0"/>
        </w:tblPrEx>
        <w:trPr>
          <w:trHeight w:val="340"/>
        </w:trPr>
        <w:tc>
          <w:tcPr>
            <w:tcW w:w="2542" w:type="dxa"/>
            <w:tcBorders>
              <w:top w:val="nil"/>
              <w:left w:val="single" w:sz="4" w:space="0" w:color="auto"/>
              <w:bottom w:val="single" w:sz="4" w:space="0" w:color="auto"/>
              <w:right w:val="single" w:sz="4" w:space="0" w:color="auto"/>
            </w:tcBorders>
            <w:shd w:val="clear" w:color="auto" w:fill="auto"/>
            <w:noWrap/>
            <w:vAlign w:val="center"/>
            <w:hideMark/>
          </w:tcPr>
          <w:p w:rsidR="00E2507D" w:rsidRPr="00343516" w:rsidP="00E2507D">
            <w:pPr>
              <w:spacing w:after="0"/>
              <w:rPr>
                <w:rFonts w:cs="Arial"/>
              </w:rPr>
            </w:pPr>
            <w:r w:rsidRPr="00343516">
              <w:rPr>
                <w:rFonts w:cs="Arial"/>
              </w:rPr>
              <w:t>Primary</w:t>
            </w:r>
          </w:p>
        </w:tc>
        <w:tc>
          <w:tcPr>
            <w:tcW w:w="3260" w:type="dxa"/>
            <w:tcBorders>
              <w:top w:val="nil"/>
              <w:left w:val="nil"/>
              <w:bottom w:val="single" w:sz="4" w:space="0" w:color="auto"/>
              <w:right w:val="single" w:sz="4" w:space="0" w:color="auto"/>
            </w:tcBorders>
            <w:shd w:val="clear" w:color="auto" w:fill="auto"/>
            <w:noWrap/>
            <w:vAlign w:val="bottom"/>
          </w:tcPr>
          <w:p w:rsidR="00E2507D" w:rsidRPr="00343516" w:rsidP="00E2507D">
            <w:pPr>
              <w:spacing w:after="0"/>
              <w:jc w:val="center"/>
              <w:rPr>
                <w:rFonts w:cs="Arial"/>
              </w:rPr>
            </w:pPr>
            <w:r w:rsidRPr="00343516">
              <w:rPr>
                <w:rFonts w:cs="Arial"/>
              </w:rPr>
              <w:t>209</w:t>
            </w:r>
          </w:p>
        </w:tc>
        <w:tc>
          <w:tcPr>
            <w:tcW w:w="3260" w:type="dxa"/>
            <w:tcBorders>
              <w:top w:val="nil"/>
              <w:left w:val="nil"/>
              <w:bottom w:val="single" w:sz="4" w:space="0" w:color="auto"/>
              <w:right w:val="single" w:sz="4" w:space="0" w:color="auto"/>
            </w:tcBorders>
            <w:shd w:val="clear" w:color="auto" w:fill="auto"/>
            <w:noWrap/>
            <w:vAlign w:val="bottom"/>
          </w:tcPr>
          <w:p w:rsidR="00E2507D" w:rsidRPr="00343516" w:rsidP="00E2507D">
            <w:pPr>
              <w:spacing w:after="0"/>
              <w:jc w:val="center"/>
              <w:rPr>
                <w:rFonts w:cs="Arial"/>
              </w:rPr>
            </w:pPr>
            <w:r w:rsidRPr="00343516">
              <w:rPr>
                <w:rFonts w:cs="Arial"/>
              </w:rPr>
              <w:t>255</w:t>
            </w:r>
          </w:p>
        </w:tc>
      </w:tr>
      <w:tr w:rsidTr="00E2507D">
        <w:tblPrEx>
          <w:tblW w:w="9062" w:type="dxa"/>
          <w:tblLayout w:type="fixed"/>
          <w:tblLook w:val="04A0"/>
        </w:tblPrEx>
        <w:trPr>
          <w:trHeight w:val="340"/>
        </w:trPr>
        <w:tc>
          <w:tcPr>
            <w:tcW w:w="2542" w:type="dxa"/>
            <w:tcBorders>
              <w:top w:val="nil"/>
              <w:left w:val="single" w:sz="4" w:space="0" w:color="auto"/>
              <w:bottom w:val="single" w:sz="4" w:space="0" w:color="auto"/>
              <w:right w:val="single" w:sz="4" w:space="0" w:color="auto"/>
            </w:tcBorders>
            <w:shd w:val="clear" w:color="auto" w:fill="auto"/>
            <w:noWrap/>
            <w:vAlign w:val="center"/>
            <w:hideMark/>
          </w:tcPr>
          <w:p w:rsidR="00E2507D" w:rsidRPr="00343516" w:rsidP="00E2507D">
            <w:pPr>
              <w:spacing w:after="0"/>
              <w:rPr>
                <w:rFonts w:cs="Arial"/>
              </w:rPr>
            </w:pPr>
            <w:r w:rsidRPr="00343516">
              <w:rPr>
                <w:rFonts w:cs="Arial"/>
              </w:rPr>
              <w:t>Secondary</w:t>
            </w:r>
          </w:p>
        </w:tc>
        <w:tc>
          <w:tcPr>
            <w:tcW w:w="3260" w:type="dxa"/>
            <w:tcBorders>
              <w:top w:val="nil"/>
              <w:left w:val="nil"/>
              <w:bottom w:val="single" w:sz="4" w:space="0" w:color="auto"/>
              <w:right w:val="single" w:sz="4" w:space="0" w:color="auto"/>
            </w:tcBorders>
            <w:shd w:val="clear" w:color="auto" w:fill="auto"/>
            <w:noWrap/>
            <w:vAlign w:val="bottom"/>
          </w:tcPr>
          <w:p w:rsidR="00E2507D" w:rsidRPr="00343516" w:rsidP="00E2507D">
            <w:pPr>
              <w:spacing w:after="0"/>
              <w:jc w:val="center"/>
              <w:rPr>
                <w:rFonts w:cs="Arial"/>
              </w:rPr>
            </w:pPr>
            <w:r w:rsidRPr="00343516">
              <w:rPr>
                <w:rFonts w:cs="Arial"/>
              </w:rPr>
              <w:t>12</w:t>
            </w:r>
          </w:p>
        </w:tc>
        <w:tc>
          <w:tcPr>
            <w:tcW w:w="3260" w:type="dxa"/>
            <w:tcBorders>
              <w:top w:val="nil"/>
              <w:left w:val="nil"/>
              <w:bottom w:val="single" w:sz="4" w:space="0" w:color="auto"/>
              <w:right w:val="single" w:sz="4" w:space="0" w:color="auto"/>
            </w:tcBorders>
            <w:shd w:val="clear" w:color="auto" w:fill="auto"/>
            <w:noWrap/>
            <w:vAlign w:val="bottom"/>
          </w:tcPr>
          <w:p w:rsidR="00E2507D" w:rsidRPr="00343516" w:rsidP="00E2507D">
            <w:pPr>
              <w:spacing w:after="0"/>
              <w:jc w:val="center"/>
              <w:rPr>
                <w:rFonts w:cs="Arial"/>
              </w:rPr>
            </w:pPr>
            <w:r w:rsidRPr="00343516">
              <w:rPr>
                <w:rFonts w:cs="Arial"/>
              </w:rPr>
              <w:t>36</w:t>
            </w:r>
          </w:p>
        </w:tc>
      </w:tr>
      <w:tr w:rsidTr="00E2507D">
        <w:tblPrEx>
          <w:tblW w:w="9062" w:type="dxa"/>
          <w:tblLayout w:type="fixed"/>
          <w:tblLook w:val="04A0"/>
        </w:tblPrEx>
        <w:trPr>
          <w:trHeight w:val="340"/>
        </w:trPr>
        <w:tc>
          <w:tcPr>
            <w:tcW w:w="2542" w:type="dxa"/>
            <w:tcBorders>
              <w:top w:val="nil"/>
              <w:left w:val="single" w:sz="4" w:space="0" w:color="auto"/>
              <w:bottom w:val="single" w:sz="4" w:space="0" w:color="auto"/>
              <w:right w:val="single" w:sz="4" w:space="0" w:color="auto"/>
            </w:tcBorders>
            <w:shd w:val="clear" w:color="auto" w:fill="auto"/>
            <w:noWrap/>
            <w:vAlign w:val="center"/>
            <w:hideMark/>
          </w:tcPr>
          <w:p w:rsidR="00E2507D" w:rsidRPr="00343516" w:rsidP="00E2507D">
            <w:pPr>
              <w:spacing w:after="0"/>
              <w:rPr>
                <w:rFonts w:cs="Arial"/>
              </w:rPr>
            </w:pPr>
            <w:r w:rsidRPr="00343516">
              <w:rPr>
                <w:rFonts w:cs="Arial"/>
              </w:rPr>
              <w:t>Special</w:t>
            </w:r>
          </w:p>
        </w:tc>
        <w:tc>
          <w:tcPr>
            <w:tcW w:w="3260" w:type="dxa"/>
            <w:tcBorders>
              <w:top w:val="nil"/>
              <w:left w:val="nil"/>
              <w:bottom w:val="single" w:sz="4" w:space="0" w:color="auto"/>
              <w:right w:val="single" w:sz="4" w:space="0" w:color="auto"/>
            </w:tcBorders>
            <w:shd w:val="clear" w:color="auto" w:fill="auto"/>
            <w:noWrap/>
            <w:vAlign w:val="bottom"/>
          </w:tcPr>
          <w:p w:rsidR="00E2507D" w:rsidRPr="00343516" w:rsidP="00E2507D">
            <w:pPr>
              <w:spacing w:after="0"/>
              <w:jc w:val="center"/>
              <w:rPr>
                <w:rFonts w:cs="Arial"/>
              </w:rPr>
            </w:pPr>
            <w:r w:rsidRPr="00343516">
              <w:rPr>
                <w:rFonts w:cs="Arial"/>
              </w:rPr>
              <w:t>16</w:t>
            </w:r>
          </w:p>
        </w:tc>
        <w:tc>
          <w:tcPr>
            <w:tcW w:w="3260" w:type="dxa"/>
            <w:tcBorders>
              <w:top w:val="nil"/>
              <w:left w:val="nil"/>
              <w:bottom w:val="single" w:sz="4" w:space="0" w:color="auto"/>
              <w:right w:val="single" w:sz="4" w:space="0" w:color="auto"/>
            </w:tcBorders>
            <w:shd w:val="clear" w:color="auto" w:fill="auto"/>
            <w:noWrap/>
            <w:vAlign w:val="bottom"/>
          </w:tcPr>
          <w:p w:rsidR="00E2507D" w:rsidRPr="00343516" w:rsidP="00E2507D">
            <w:pPr>
              <w:spacing w:after="0"/>
              <w:jc w:val="center"/>
              <w:rPr>
                <w:rFonts w:cs="Arial"/>
              </w:rPr>
            </w:pPr>
            <w:r w:rsidRPr="00343516">
              <w:rPr>
                <w:rFonts w:cs="Arial"/>
              </w:rPr>
              <w:t>13</w:t>
            </w:r>
          </w:p>
        </w:tc>
      </w:tr>
      <w:tr w:rsidTr="00E2507D">
        <w:tblPrEx>
          <w:tblW w:w="9062" w:type="dxa"/>
          <w:tblLayout w:type="fixed"/>
          <w:tblLook w:val="04A0"/>
        </w:tblPrEx>
        <w:trPr>
          <w:trHeight w:val="340"/>
        </w:trPr>
        <w:tc>
          <w:tcPr>
            <w:tcW w:w="2542" w:type="dxa"/>
            <w:tcBorders>
              <w:top w:val="nil"/>
              <w:left w:val="single" w:sz="4" w:space="0" w:color="auto"/>
              <w:bottom w:val="single" w:sz="4" w:space="0" w:color="auto"/>
              <w:right w:val="single" w:sz="4" w:space="0" w:color="auto"/>
            </w:tcBorders>
            <w:shd w:val="clear" w:color="auto" w:fill="auto"/>
            <w:noWrap/>
            <w:vAlign w:val="center"/>
            <w:hideMark/>
          </w:tcPr>
          <w:p w:rsidR="00E2507D" w:rsidRPr="00343516" w:rsidP="00E2507D">
            <w:pPr>
              <w:spacing w:after="0"/>
              <w:rPr>
                <w:rFonts w:cs="Arial"/>
              </w:rPr>
            </w:pPr>
            <w:r w:rsidRPr="00343516">
              <w:rPr>
                <w:rFonts w:cs="Arial"/>
              </w:rPr>
              <w:t>PRU</w:t>
            </w:r>
          </w:p>
        </w:tc>
        <w:tc>
          <w:tcPr>
            <w:tcW w:w="3260" w:type="dxa"/>
            <w:tcBorders>
              <w:top w:val="nil"/>
              <w:left w:val="nil"/>
              <w:bottom w:val="single" w:sz="4" w:space="0" w:color="auto"/>
              <w:right w:val="single" w:sz="4" w:space="0" w:color="auto"/>
            </w:tcBorders>
            <w:shd w:val="clear" w:color="auto" w:fill="auto"/>
            <w:noWrap/>
            <w:vAlign w:val="bottom"/>
          </w:tcPr>
          <w:p w:rsidR="00E2507D" w:rsidRPr="00343516" w:rsidP="00E2507D">
            <w:pPr>
              <w:spacing w:after="0"/>
              <w:jc w:val="center"/>
              <w:rPr>
                <w:rFonts w:cs="Arial"/>
              </w:rPr>
            </w:pPr>
            <w:r w:rsidRPr="00343516">
              <w:rPr>
                <w:rFonts w:cs="Arial"/>
              </w:rPr>
              <w:t>7</w:t>
            </w:r>
          </w:p>
        </w:tc>
        <w:tc>
          <w:tcPr>
            <w:tcW w:w="3260" w:type="dxa"/>
            <w:tcBorders>
              <w:top w:val="nil"/>
              <w:left w:val="nil"/>
              <w:bottom w:val="single" w:sz="4" w:space="0" w:color="auto"/>
              <w:right w:val="single" w:sz="4" w:space="0" w:color="auto"/>
            </w:tcBorders>
            <w:shd w:val="clear" w:color="auto" w:fill="auto"/>
            <w:noWrap/>
            <w:vAlign w:val="bottom"/>
          </w:tcPr>
          <w:p w:rsidR="00E2507D" w:rsidRPr="00343516" w:rsidP="00E2507D">
            <w:pPr>
              <w:spacing w:after="0"/>
              <w:jc w:val="center"/>
              <w:rPr>
                <w:rFonts w:cs="Arial"/>
              </w:rPr>
            </w:pPr>
            <w:r w:rsidRPr="00343516">
              <w:rPr>
                <w:rFonts w:cs="Arial"/>
              </w:rPr>
              <w:t>2</w:t>
            </w:r>
          </w:p>
        </w:tc>
      </w:tr>
      <w:tr w:rsidTr="00E2507D">
        <w:tblPrEx>
          <w:tblW w:w="9062" w:type="dxa"/>
          <w:tblLayout w:type="fixed"/>
          <w:tblLook w:val="04A0"/>
        </w:tblPrEx>
        <w:trPr>
          <w:trHeight w:val="340"/>
        </w:trPr>
        <w:tc>
          <w:tcPr>
            <w:tcW w:w="2542" w:type="dxa"/>
            <w:tcBorders>
              <w:top w:val="nil"/>
              <w:left w:val="single" w:sz="4" w:space="0" w:color="auto"/>
              <w:bottom w:val="single" w:sz="4" w:space="0" w:color="auto"/>
              <w:right w:val="single" w:sz="4" w:space="0" w:color="auto"/>
            </w:tcBorders>
            <w:shd w:val="clear" w:color="auto" w:fill="auto"/>
            <w:noWrap/>
            <w:vAlign w:val="center"/>
            <w:hideMark/>
          </w:tcPr>
          <w:p w:rsidR="00E2507D" w:rsidRPr="00343516" w:rsidP="00E2507D">
            <w:pPr>
              <w:spacing w:after="0"/>
              <w:rPr>
                <w:rFonts w:cs="Arial"/>
                <w:b/>
                <w:bCs/>
              </w:rPr>
            </w:pPr>
            <w:r w:rsidRPr="00343516">
              <w:rPr>
                <w:rFonts w:cs="Arial"/>
                <w:b/>
                <w:bCs/>
              </w:rPr>
              <w:t>Total</w:t>
            </w:r>
          </w:p>
        </w:tc>
        <w:tc>
          <w:tcPr>
            <w:tcW w:w="3260" w:type="dxa"/>
            <w:tcBorders>
              <w:top w:val="nil"/>
              <w:left w:val="nil"/>
              <w:bottom w:val="single" w:sz="4" w:space="0" w:color="auto"/>
              <w:right w:val="single" w:sz="4" w:space="0" w:color="auto"/>
            </w:tcBorders>
            <w:shd w:val="clear" w:color="auto" w:fill="auto"/>
            <w:noWrap/>
            <w:vAlign w:val="bottom"/>
          </w:tcPr>
          <w:p w:rsidR="00E2507D" w:rsidRPr="00343516" w:rsidP="00E2507D">
            <w:pPr>
              <w:spacing w:after="0"/>
              <w:jc w:val="center"/>
              <w:rPr>
                <w:rFonts w:cs="Arial"/>
                <w:b/>
              </w:rPr>
            </w:pPr>
            <w:r w:rsidRPr="00343516">
              <w:rPr>
                <w:rFonts w:cs="Arial"/>
                <w:b/>
              </w:rPr>
              <w:t>255</w:t>
            </w:r>
          </w:p>
        </w:tc>
        <w:tc>
          <w:tcPr>
            <w:tcW w:w="3260" w:type="dxa"/>
            <w:tcBorders>
              <w:top w:val="nil"/>
              <w:left w:val="nil"/>
              <w:bottom w:val="single" w:sz="4" w:space="0" w:color="auto"/>
              <w:right w:val="single" w:sz="4" w:space="0" w:color="auto"/>
            </w:tcBorders>
            <w:shd w:val="clear" w:color="auto" w:fill="auto"/>
            <w:noWrap/>
            <w:vAlign w:val="bottom"/>
          </w:tcPr>
          <w:p w:rsidR="00E2507D" w:rsidRPr="00343516" w:rsidP="00E2507D">
            <w:pPr>
              <w:spacing w:after="0"/>
              <w:jc w:val="center"/>
              <w:rPr>
                <w:rFonts w:cs="Arial"/>
                <w:b/>
              </w:rPr>
            </w:pPr>
            <w:r w:rsidRPr="00343516">
              <w:rPr>
                <w:rFonts w:cs="Arial"/>
                <w:b/>
              </w:rPr>
              <w:t>319</w:t>
            </w:r>
          </w:p>
        </w:tc>
      </w:tr>
    </w:tbl>
    <w:p w:rsidR="00E2507D" w:rsidRPr="00343516" w:rsidP="00E2507D">
      <w:pPr>
        <w:spacing w:after="0"/>
        <w:jc w:val="center"/>
        <w:rPr>
          <w:rFonts w:cs="Arial"/>
        </w:rPr>
      </w:pPr>
    </w:p>
    <w:p w:rsidR="00E2507D" w:rsidRPr="00343516" w:rsidP="00E2507D">
      <w:pPr>
        <w:spacing w:after="0"/>
        <w:rPr>
          <w:rFonts w:cs="Arial"/>
        </w:rPr>
      </w:pPr>
      <w:r w:rsidRPr="00343516">
        <w:rPr>
          <w:rFonts w:cs="Arial"/>
        </w:rPr>
        <w:t>255 schools (44%) operated an in year deficit in 2019/20. The significant numbers of schools, across all phases, using reserves in order to balance their budgets, is a further demonstration of the persistent financial pressures in the school sector.  Within the PRU and special school sectors, more than half the schools within each phase spent more than their income in year.</w:t>
      </w:r>
    </w:p>
    <w:p w:rsidR="00E2507D" w:rsidRPr="00343516" w:rsidP="00E2507D">
      <w:pPr>
        <w:spacing w:after="0"/>
        <w:rPr>
          <w:rFonts w:cs="Arial"/>
        </w:rPr>
      </w:pPr>
    </w:p>
    <w:p w:rsidR="00E2507D" w:rsidRPr="00343516" w:rsidP="00E2507D">
      <w:pPr>
        <w:spacing w:after="0"/>
        <w:rPr>
          <w:rFonts w:cs="Arial"/>
        </w:rPr>
      </w:pPr>
      <w:r w:rsidRPr="00343516">
        <w:rPr>
          <w:rFonts w:cs="Arial"/>
        </w:rPr>
        <w:t>The number of schools operating in year deficits has reduced slightly from figures in recent years, with 271 in 2018/19, 282 in 2017/18 and 368 in 2016/17.</w:t>
      </w:r>
    </w:p>
    <w:p w:rsidR="00E2507D" w:rsidRPr="00343516" w:rsidP="00E2507D">
      <w:pPr>
        <w:spacing w:after="0"/>
        <w:rPr>
          <w:rFonts w:cs="Arial"/>
          <w:highlight w:val="yellow"/>
        </w:rPr>
      </w:pPr>
    </w:p>
    <w:p w:rsidR="00E2507D" w:rsidRPr="00343516" w:rsidP="00E2507D">
      <w:pPr>
        <w:spacing w:after="0"/>
        <w:rPr>
          <w:rFonts w:cs="Arial"/>
          <w:b/>
        </w:rPr>
      </w:pPr>
      <w:r w:rsidRPr="00343516">
        <w:rPr>
          <w:rFonts w:cs="Arial"/>
          <w:b/>
        </w:rPr>
        <w:t>2019/20 School Balances – No of Schools in Surplus/Deficit by Phase</w:t>
      </w:r>
    </w:p>
    <w:p w:rsidR="00E2507D" w:rsidRPr="00343516" w:rsidP="00E2507D">
      <w:pPr>
        <w:spacing w:after="0"/>
        <w:rPr>
          <w:rFonts w:cs="Arial"/>
        </w:rPr>
      </w:pPr>
    </w:p>
    <w:tbl>
      <w:tblPr>
        <w:tblW w:w="8921" w:type="dxa"/>
        <w:tblLayout w:type="fixed"/>
        <w:tblLook w:val="04A0"/>
      </w:tblPr>
      <w:tblGrid>
        <w:gridCol w:w="3109"/>
        <w:gridCol w:w="2977"/>
        <w:gridCol w:w="2835"/>
      </w:tblGrid>
      <w:tr w:rsidTr="00E2507D">
        <w:tblPrEx>
          <w:tblW w:w="8921" w:type="dxa"/>
          <w:tblLayout w:type="fixed"/>
          <w:tblLook w:val="04A0"/>
        </w:tblPrEx>
        <w:trPr>
          <w:trHeight w:val="340"/>
        </w:trPr>
        <w:tc>
          <w:tcPr>
            <w:tcW w:w="3109" w:type="dxa"/>
            <w:tcBorders>
              <w:top w:val="single" w:sz="8" w:space="0" w:color="auto"/>
              <w:left w:val="single" w:sz="8" w:space="0" w:color="auto"/>
              <w:bottom w:val="nil"/>
              <w:right w:val="single" w:sz="8" w:space="0" w:color="auto"/>
            </w:tcBorders>
            <w:shd w:val="clear" w:color="auto" w:fill="auto"/>
            <w:vAlign w:val="center"/>
            <w:hideMark/>
          </w:tcPr>
          <w:p w:rsidR="00E2507D" w:rsidRPr="00343516" w:rsidP="00E2507D">
            <w:pPr>
              <w:spacing w:after="0"/>
              <w:jc w:val="center"/>
              <w:rPr>
                <w:rFonts w:cs="Arial"/>
                <w:b/>
                <w:bCs/>
              </w:rPr>
            </w:pPr>
            <w:r w:rsidRPr="00343516">
              <w:rPr>
                <w:rFonts w:cs="Arial"/>
                <w:b/>
                <w:bCs/>
              </w:rPr>
              <w:t>Phase</w:t>
            </w:r>
          </w:p>
        </w:tc>
        <w:tc>
          <w:tcPr>
            <w:tcW w:w="2977" w:type="dxa"/>
            <w:tcBorders>
              <w:top w:val="single" w:sz="8" w:space="0" w:color="auto"/>
              <w:left w:val="nil"/>
              <w:bottom w:val="nil"/>
              <w:right w:val="single" w:sz="8" w:space="0" w:color="auto"/>
            </w:tcBorders>
            <w:shd w:val="clear" w:color="auto" w:fill="auto"/>
            <w:vAlign w:val="center"/>
            <w:hideMark/>
          </w:tcPr>
          <w:p w:rsidR="00E2507D" w:rsidRPr="00343516" w:rsidP="00E2507D">
            <w:pPr>
              <w:spacing w:after="0"/>
              <w:jc w:val="center"/>
              <w:rPr>
                <w:rFonts w:cs="Arial"/>
                <w:b/>
                <w:bCs/>
              </w:rPr>
            </w:pPr>
            <w:r w:rsidRPr="00343516">
              <w:rPr>
                <w:rFonts w:cs="Arial"/>
                <w:b/>
                <w:bCs/>
              </w:rPr>
              <w:t>Count of deficit close balance</w:t>
            </w:r>
          </w:p>
        </w:tc>
        <w:tc>
          <w:tcPr>
            <w:tcW w:w="2835" w:type="dxa"/>
            <w:tcBorders>
              <w:top w:val="single" w:sz="8" w:space="0" w:color="auto"/>
              <w:left w:val="nil"/>
              <w:bottom w:val="nil"/>
              <w:right w:val="single" w:sz="8" w:space="0" w:color="auto"/>
            </w:tcBorders>
            <w:shd w:val="clear" w:color="auto" w:fill="auto"/>
            <w:vAlign w:val="center"/>
            <w:hideMark/>
          </w:tcPr>
          <w:p w:rsidR="00E2507D" w:rsidRPr="00343516" w:rsidP="00E2507D">
            <w:pPr>
              <w:spacing w:after="0"/>
              <w:jc w:val="center"/>
              <w:rPr>
                <w:rFonts w:cs="Arial"/>
                <w:b/>
                <w:bCs/>
              </w:rPr>
            </w:pPr>
            <w:r w:rsidRPr="00343516">
              <w:rPr>
                <w:rFonts w:cs="Arial"/>
                <w:b/>
                <w:bCs/>
              </w:rPr>
              <w:t>Count of surplus close balance</w:t>
            </w:r>
          </w:p>
        </w:tc>
      </w:tr>
      <w:tr w:rsidTr="00E2507D">
        <w:tblPrEx>
          <w:tblW w:w="8921" w:type="dxa"/>
          <w:tblLayout w:type="fixed"/>
          <w:tblLook w:val="04A0"/>
        </w:tblPrEx>
        <w:trPr>
          <w:trHeight w:val="340"/>
        </w:trPr>
        <w:tc>
          <w:tcPr>
            <w:tcW w:w="3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7D" w:rsidRPr="00343516" w:rsidP="00E2507D">
            <w:pPr>
              <w:spacing w:after="0"/>
              <w:rPr>
                <w:rFonts w:cs="Arial"/>
              </w:rPr>
            </w:pPr>
            <w:r w:rsidRPr="00343516">
              <w:rPr>
                <w:rFonts w:cs="Arial"/>
              </w:rPr>
              <w:t>Nursery</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E2507D" w:rsidRPr="00343516" w:rsidP="00E2507D">
            <w:pPr>
              <w:spacing w:after="0"/>
              <w:jc w:val="center"/>
              <w:rPr>
                <w:rFonts w:cs="Arial"/>
              </w:rPr>
            </w:pPr>
            <w:r w:rsidRPr="00343516">
              <w:rPr>
                <w:rFonts w:cs="Arial"/>
              </w:rPr>
              <w:t>6</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E2507D" w:rsidRPr="00343516" w:rsidP="00E2507D">
            <w:pPr>
              <w:spacing w:after="0"/>
              <w:jc w:val="center"/>
              <w:rPr>
                <w:rFonts w:cs="Arial"/>
              </w:rPr>
            </w:pPr>
            <w:r w:rsidRPr="00343516">
              <w:rPr>
                <w:rFonts w:cs="Arial"/>
              </w:rPr>
              <w:t>18</w:t>
            </w:r>
          </w:p>
        </w:tc>
      </w:tr>
      <w:tr w:rsidTr="00E2507D">
        <w:tblPrEx>
          <w:tblW w:w="8921" w:type="dxa"/>
          <w:tblLayout w:type="fixed"/>
          <w:tblLook w:val="04A0"/>
        </w:tblPrEx>
        <w:trPr>
          <w:trHeight w:val="340"/>
        </w:trPr>
        <w:tc>
          <w:tcPr>
            <w:tcW w:w="3109" w:type="dxa"/>
            <w:tcBorders>
              <w:top w:val="nil"/>
              <w:left w:val="single" w:sz="4" w:space="0" w:color="auto"/>
              <w:bottom w:val="single" w:sz="4" w:space="0" w:color="auto"/>
              <w:right w:val="single" w:sz="4" w:space="0" w:color="auto"/>
            </w:tcBorders>
            <w:shd w:val="clear" w:color="auto" w:fill="auto"/>
            <w:noWrap/>
            <w:vAlign w:val="center"/>
            <w:hideMark/>
          </w:tcPr>
          <w:p w:rsidR="00E2507D" w:rsidRPr="00343516" w:rsidP="00E2507D">
            <w:pPr>
              <w:spacing w:after="0"/>
              <w:rPr>
                <w:rFonts w:cs="Arial"/>
              </w:rPr>
            </w:pPr>
            <w:r w:rsidRPr="00343516">
              <w:rPr>
                <w:rFonts w:cs="Arial"/>
              </w:rPr>
              <w:t>Primary</w:t>
            </w:r>
          </w:p>
        </w:tc>
        <w:tc>
          <w:tcPr>
            <w:tcW w:w="2977" w:type="dxa"/>
            <w:tcBorders>
              <w:top w:val="nil"/>
              <w:left w:val="nil"/>
              <w:bottom w:val="single" w:sz="4" w:space="0" w:color="auto"/>
              <w:right w:val="single" w:sz="4" w:space="0" w:color="auto"/>
            </w:tcBorders>
            <w:shd w:val="clear" w:color="auto" w:fill="auto"/>
            <w:noWrap/>
            <w:vAlign w:val="bottom"/>
            <w:hideMark/>
          </w:tcPr>
          <w:p w:rsidR="00E2507D" w:rsidRPr="00343516" w:rsidP="00E2507D">
            <w:pPr>
              <w:spacing w:after="0"/>
              <w:jc w:val="center"/>
              <w:rPr>
                <w:rFonts w:cs="Arial"/>
              </w:rPr>
            </w:pPr>
            <w:r w:rsidRPr="00343516">
              <w:rPr>
                <w:rFonts w:cs="Arial"/>
              </w:rPr>
              <w:t>23</w:t>
            </w:r>
          </w:p>
        </w:tc>
        <w:tc>
          <w:tcPr>
            <w:tcW w:w="2835" w:type="dxa"/>
            <w:tcBorders>
              <w:top w:val="nil"/>
              <w:left w:val="nil"/>
              <w:bottom w:val="single" w:sz="4" w:space="0" w:color="auto"/>
              <w:right w:val="single" w:sz="4" w:space="0" w:color="auto"/>
            </w:tcBorders>
            <w:shd w:val="clear" w:color="auto" w:fill="auto"/>
            <w:noWrap/>
            <w:vAlign w:val="bottom"/>
            <w:hideMark/>
          </w:tcPr>
          <w:p w:rsidR="00E2507D" w:rsidRPr="00343516" w:rsidP="00E2507D">
            <w:pPr>
              <w:spacing w:after="0"/>
              <w:jc w:val="center"/>
              <w:rPr>
                <w:rFonts w:cs="Arial"/>
              </w:rPr>
            </w:pPr>
            <w:r w:rsidRPr="00343516">
              <w:rPr>
                <w:rFonts w:cs="Arial"/>
              </w:rPr>
              <w:t>441</w:t>
            </w:r>
          </w:p>
        </w:tc>
      </w:tr>
      <w:tr w:rsidTr="00E2507D">
        <w:tblPrEx>
          <w:tblW w:w="8921" w:type="dxa"/>
          <w:tblLayout w:type="fixed"/>
          <w:tblLook w:val="04A0"/>
        </w:tblPrEx>
        <w:trPr>
          <w:trHeight w:val="340"/>
        </w:trPr>
        <w:tc>
          <w:tcPr>
            <w:tcW w:w="3109" w:type="dxa"/>
            <w:tcBorders>
              <w:top w:val="nil"/>
              <w:left w:val="single" w:sz="4" w:space="0" w:color="auto"/>
              <w:bottom w:val="single" w:sz="4" w:space="0" w:color="auto"/>
              <w:right w:val="single" w:sz="4" w:space="0" w:color="auto"/>
            </w:tcBorders>
            <w:shd w:val="clear" w:color="auto" w:fill="auto"/>
            <w:noWrap/>
            <w:vAlign w:val="center"/>
            <w:hideMark/>
          </w:tcPr>
          <w:p w:rsidR="00E2507D" w:rsidRPr="00343516" w:rsidP="00E2507D">
            <w:pPr>
              <w:spacing w:after="0"/>
              <w:rPr>
                <w:rFonts w:cs="Arial"/>
              </w:rPr>
            </w:pPr>
            <w:r w:rsidRPr="00343516">
              <w:rPr>
                <w:rFonts w:cs="Arial"/>
              </w:rPr>
              <w:t>Secondary</w:t>
            </w:r>
          </w:p>
        </w:tc>
        <w:tc>
          <w:tcPr>
            <w:tcW w:w="2977" w:type="dxa"/>
            <w:tcBorders>
              <w:top w:val="nil"/>
              <w:left w:val="nil"/>
              <w:bottom w:val="single" w:sz="4" w:space="0" w:color="auto"/>
              <w:right w:val="single" w:sz="4" w:space="0" w:color="auto"/>
            </w:tcBorders>
            <w:shd w:val="clear" w:color="auto" w:fill="auto"/>
            <w:noWrap/>
            <w:vAlign w:val="bottom"/>
          </w:tcPr>
          <w:p w:rsidR="00E2507D" w:rsidRPr="00343516" w:rsidP="00E2507D">
            <w:pPr>
              <w:spacing w:after="0"/>
              <w:jc w:val="center"/>
              <w:rPr>
                <w:rFonts w:cs="Arial"/>
              </w:rPr>
            </w:pPr>
            <w:r w:rsidRPr="00343516">
              <w:rPr>
                <w:rFonts w:cs="Arial"/>
              </w:rPr>
              <w:t>5</w:t>
            </w:r>
          </w:p>
        </w:tc>
        <w:tc>
          <w:tcPr>
            <w:tcW w:w="2835" w:type="dxa"/>
            <w:tcBorders>
              <w:top w:val="nil"/>
              <w:left w:val="nil"/>
              <w:bottom w:val="single" w:sz="4" w:space="0" w:color="auto"/>
              <w:right w:val="single" w:sz="4" w:space="0" w:color="auto"/>
            </w:tcBorders>
            <w:shd w:val="clear" w:color="auto" w:fill="auto"/>
            <w:noWrap/>
            <w:vAlign w:val="bottom"/>
            <w:hideMark/>
          </w:tcPr>
          <w:p w:rsidR="00E2507D" w:rsidRPr="00343516" w:rsidP="00E2507D">
            <w:pPr>
              <w:spacing w:after="0"/>
              <w:jc w:val="center"/>
              <w:rPr>
                <w:rFonts w:cs="Arial"/>
              </w:rPr>
            </w:pPr>
            <w:r w:rsidRPr="00343516">
              <w:rPr>
                <w:rFonts w:cs="Arial"/>
              </w:rPr>
              <w:t>43</w:t>
            </w:r>
          </w:p>
        </w:tc>
      </w:tr>
      <w:tr w:rsidTr="00E2507D">
        <w:tblPrEx>
          <w:tblW w:w="8921" w:type="dxa"/>
          <w:tblLayout w:type="fixed"/>
          <w:tblLook w:val="04A0"/>
        </w:tblPrEx>
        <w:trPr>
          <w:trHeight w:val="340"/>
        </w:trPr>
        <w:tc>
          <w:tcPr>
            <w:tcW w:w="3109" w:type="dxa"/>
            <w:tcBorders>
              <w:top w:val="nil"/>
              <w:left w:val="single" w:sz="4" w:space="0" w:color="auto"/>
              <w:bottom w:val="single" w:sz="4" w:space="0" w:color="auto"/>
              <w:right w:val="single" w:sz="4" w:space="0" w:color="auto"/>
            </w:tcBorders>
            <w:shd w:val="clear" w:color="auto" w:fill="auto"/>
            <w:noWrap/>
            <w:vAlign w:val="center"/>
            <w:hideMark/>
          </w:tcPr>
          <w:p w:rsidR="00E2507D" w:rsidRPr="00343516" w:rsidP="00E2507D">
            <w:pPr>
              <w:spacing w:after="0"/>
              <w:rPr>
                <w:rFonts w:cs="Arial"/>
              </w:rPr>
            </w:pPr>
            <w:r w:rsidRPr="00343516">
              <w:rPr>
                <w:rFonts w:cs="Arial"/>
              </w:rPr>
              <w:t>Special</w:t>
            </w:r>
          </w:p>
        </w:tc>
        <w:tc>
          <w:tcPr>
            <w:tcW w:w="2977" w:type="dxa"/>
            <w:tcBorders>
              <w:top w:val="nil"/>
              <w:left w:val="nil"/>
              <w:bottom w:val="single" w:sz="4" w:space="0" w:color="auto"/>
              <w:right w:val="single" w:sz="4" w:space="0" w:color="auto"/>
            </w:tcBorders>
            <w:shd w:val="clear" w:color="auto" w:fill="auto"/>
            <w:noWrap/>
            <w:vAlign w:val="bottom"/>
          </w:tcPr>
          <w:p w:rsidR="00E2507D" w:rsidRPr="00343516" w:rsidP="00E2507D">
            <w:pPr>
              <w:spacing w:after="0"/>
              <w:jc w:val="center"/>
              <w:rPr>
                <w:rFonts w:cs="Arial"/>
              </w:rPr>
            </w:pPr>
            <w:r w:rsidRPr="00343516">
              <w:rPr>
                <w:rFonts w:cs="Arial"/>
              </w:rPr>
              <w:t>6</w:t>
            </w:r>
          </w:p>
        </w:tc>
        <w:tc>
          <w:tcPr>
            <w:tcW w:w="2835" w:type="dxa"/>
            <w:tcBorders>
              <w:top w:val="nil"/>
              <w:left w:val="nil"/>
              <w:bottom w:val="single" w:sz="4" w:space="0" w:color="auto"/>
              <w:right w:val="single" w:sz="4" w:space="0" w:color="auto"/>
            </w:tcBorders>
            <w:shd w:val="clear" w:color="auto" w:fill="auto"/>
            <w:noWrap/>
            <w:vAlign w:val="bottom"/>
            <w:hideMark/>
          </w:tcPr>
          <w:p w:rsidR="00E2507D" w:rsidRPr="00343516" w:rsidP="00E2507D">
            <w:pPr>
              <w:spacing w:after="0"/>
              <w:jc w:val="center"/>
              <w:rPr>
                <w:rFonts w:cs="Arial"/>
              </w:rPr>
            </w:pPr>
            <w:r w:rsidRPr="00343516">
              <w:rPr>
                <w:rFonts w:cs="Arial"/>
              </w:rPr>
              <w:t>23</w:t>
            </w:r>
          </w:p>
        </w:tc>
      </w:tr>
      <w:tr w:rsidTr="00E2507D">
        <w:tblPrEx>
          <w:tblW w:w="8921" w:type="dxa"/>
          <w:tblLayout w:type="fixed"/>
          <w:tblLook w:val="04A0"/>
        </w:tblPrEx>
        <w:trPr>
          <w:trHeight w:val="340"/>
        </w:trPr>
        <w:tc>
          <w:tcPr>
            <w:tcW w:w="3109" w:type="dxa"/>
            <w:tcBorders>
              <w:top w:val="nil"/>
              <w:left w:val="single" w:sz="4" w:space="0" w:color="auto"/>
              <w:bottom w:val="single" w:sz="4" w:space="0" w:color="auto"/>
              <w:right w:val="single" w:sz="4" w:space="0" w:color="auto"/>
            </w:tcBorders>
            <w:shd w:val="clear" w:color="auto" w:fill="auto"/>
            <w:noWrap/>
            <w:vAlign w:val="center"/>
            <w:hideMark/>
          </w:tcPr>
          <w:p w:rsidR="00E2507D" w:rsidRPr="00343516" w:rsidP="00E2507D">
            <w:pPr>
              <w:spacing w:after="0"/>
              <w:rPr>
                <w:rFonts w:cs="Arial"/>
              </w:rPr>
            </w:pPr>
            <w:r w:rsidRPr="00343516">
              <w:rPr>
                <w:rFonts w:cs="Arial"/>
              </w:rPr>
              <w:t>PRU</w:t>
            </w:r>
          </w:p>
        </w:tc>
        <w:tc>
          <w:tcPr>
            <w:tcW w:w="2977" w:type="dxa"/>
            <w:tcBorders>
              <w:top w:val="nil"/>
              <w:left w:val="nil"/>
              <w:bottom w:val="single" w:sz="4" w:space="0" w:color="auto"/>
              <w:right w:val="single" w:sz="4" w:space="0" w:color="auto"/>
            </w:tcBorders>
            <w:shd w:val="clear" w:color="auto" w:fill="auto"/>
            <w:noWrap/>
            <w:vAlign w:val="bottom"/>
          </w:tcPr>
          <w:p w:rsidR="00E2507D" w:rsidRPr="00343516" w:rsidP="00E2507D">
            <w:pPr>
              <w:spacing w:after="0"/>
              <w:jc w:val="center"/>
              <w:rPr>
                <w:rFonts w:cs="Arial"/>
              </w:rPr>
            </w:pPr>
            <w:r w:rsidRPr="00343516">
              <w:rPr>
                <w:rFonts w:cs="Arial"/>
              </w:rPr>
              <w:t>1</w:t>
            </w:r>
          </w:p>
        </w:tc>
        <w:tc>
          <w:tcPr>
            <w:tcW w:w="2835" w:type="dxa"/>
            <w:tcBorders>
              <w:top w:val="nil"/>
              <w:left w:val="nil"/>
              <w:bottom w:val="single" w:sz="4" w:space="0" w:color="auto"/>
              <w:right w:val="single" w:sz="4" w:space="0" w:color="auto"/>
            </w:tcBorders>
            <w:shd w:val="clear" w:color="auto" w:fill="auto"/>
            <w:noWrap/>
            <w:vAlign w:val="bottom"/>
            <w:hideMark/>
          </w:tcPr>
          <w:p w:rsidR="00E2507D" w:rsidRPr="00343516" w:rsidP="00E2507D">
            <w:pPr>
              <w:spacing w:after="0"/>
              <w:jc w:val="center"/>
              <w:rPr>
                <w:rFonts w:cs="Arial"/>
              </w:rPr>
            </w:pPr>
            <w:r w:rsidRPr="00343516">
              <w:rPr>
                <w:rFonts w:cs="Arial"/>
              </w:rPr>
              <w:t>8</w:t>
            </w:r>
          </w:p>
        </w:tc>
      </w:tr>
      <w:tr w:rsidTr="00E2507D">
        <w:tblPrEx>
          <w:tblW w:w="8921" w:type="dxa"/>
          <w:tblLayout w:type="fixed"/>
          <w:tblLook w:val="04A0"/>
        </w:tblPrEx>
        <w:trPr>
          <w:trHeight w:val="340"/>
        </w:trPr>
        <w:tc>
          <w:tcPr>
            <w:tcW w:w="3109" w:type="dxa"/>
            <w:tcBorders>
              <w:top w:val="nil"/>
              <w:left w:val="single" w:sz="4" w:space="0" w:color="auto"/>
              <w:bottom w:val="single" w:sz="4" w:space="0" w:color="auto"/>
              <w:right w:val="single" w:sz="4" w:space="0" w:color="auto"/>
            </w:tcBorders>
            <w:shd w:val="clear" w:color="auto" w:fill="auto"/>
            <w:noWrap/>
            <w:vAlign w:val="center"/>
            <w:hideMark/>
          </w:tcPr>
          <w:p w:rsidR="00E2507D" w:rsidRPr="00343516" w:rsidP="00E2507D">
            <w:pPr>
              <w:spacing w:after="0"/>
              <w:rPr>
                <w:rFonts w:cs="Arial"/>
                <w:b/>
                <w:bCs/>
              </w:rPr>
            </w:pPr>
            <w:r w:rsidRPr="00343516">
              <w:rPr>
                <w:rFonts w:cs="Arial"/>
                <w:b/>
                <w:bCs/>
              </w:rPr>
              <w:t>Total</w:t>
            </w:r>
          </w:p>
        </w:tc>
        <w:tc>
          <w:tcPr>
            <w:tcW w:w="2977" w:type="dxa"/>
            <w:tcBorders>
              <w:top w:val="nil"/>
              <w:left w:val="nil"/>
              <w:bottom w:val="single" w:sz="4" w:space="0" w:color="auto"/>
              <w:right w:val="single" w:sz="4" w:space="0" w:color="auto"/>
            </w:tcBorders>
            <w:shd w:val="clear" w:color="auto" w:fill="auto"/>
            <w:noWrap/>
            <w:vAlign w:val="bottom"/>
            <w:hideMark/>
          </w:tcPr>
          <w:p w:rsidR="00E2507D" w:rsidRPr="00343516" w:rsidP="00E2507D">
            <w:pPr>
              <w:spacing w:after="0"/>
              <w:jc w:val="center"/>
              <w:rPr>
                <w:rFonts w:cs="Arial"/>
                <w:b/>
              </w:rPr>
            </w:pPr>
            <w:r w:rsidRPr="00343516">
              <w:rPr>
                <w:rFonts w:cs="Arial"/>
                <w:b/>
              </w:rPr>
              <w:t>41</w:t>
            </w:r>
          </w:p>
        </w:tc>
        <w:tc>
          <w:tcPr>
            <w:tcW w:w="2835" w:type="dxa"/>
            <w:tcBorders>
              <w:top w:val="nil"/>
              <w:left w:val="nil"/>
              <w:bottom w:val="single" w:sz="4" w:space="0" w:color="auto"/>
              <w:right w:val="single" w:sz="4" w:space="0" w:color="auto"/>
            </w:tcBorders>
            <w:shd w:val="clear" w:color="auto" w:fill="auto"/>
            <w:noWrap/>
            <w:vAlign w:val="bottom"/>
            <w:hideMark/>
          </w:tcPr>
          <w:p w:rsidR="00E2507D" w:rsidRPr="00343516" w:rsidP="00E2507D">
            <w:pPr>
              <w:spacing w:after="0"/>
              <w:jc w:val="center"/>
              <w:rPr>
                <w:rFonts w:cs="Arial"/>
                <w:b/>
              </w:rPr>
            </w:pPr>
            <w:r w:rsidRPr="00343516">
              <w:rPr>
                <w:rFonts w:cs="Arial"/>
                <w:b/>
              </w:rPr>
              <w:t>533</w:t>
            </w:r>
          </w:p>
        </w:tc>
      </w:tr>
    </w:tbl>
    <w:p w:rsidR="00E2507D" w:rsidRPr="00343516" w:rsidP="00E2507D">
      <w:pPr>
        <w:spacing w:after="0"/>
        <w:rPr>
          <w:rFonts w:cs="Arial"/>
        </w:rPr>
      </w:pPr>
    </w:p>
    <w:p w:rsidR="00E2507D" w:rsidRPr="00343516" w:rsidP="00E2507D">
      <w:pPr>
        <w:spacing w:after="0"/>
        <w:rPr>
          <w:rFonts w:cs="Arial"/>
        </w:rPr>
      </w:pPr>
      <w:r w:rsidRPr="00343516">
        <w:rPr>
          <w:rFonts w:cs="Arial"/>
        </w:rPr>
        <w:t xml:space="preserve">41 schools ended the 2019/20 financial year in deficit, including schools from all sectors.  The number of schools in deficit at 31 March 2020 has increased slightly from 39 schools a year earlier, providing further evidence of the continuing financial pressures on schools. </w:t>
      </w:r>
    </w:p>
    <w:p w:rsidR="00E2507D" w:rsidRPr="00343516" w:rsidP="00E2507D">
      <w:pPr>
        <w:spacing w:after="0"/>
        <w:rPr>
          <w:rFonts w:cs="Arial"/>
        </w:rPr>
      </w:pPr>
    </w:p>
    <w:p w:rsidR="00E2507D" w:rsidRPr="00343516" w:rsidP="00E2507D">
      <w:pPr>
        <w:spacing w:after="0"/>
        <w:rPr>
          <w:rFonts w:cs="Arial"/>
        </w:rPr>
      </w:pPr>
      <w:r w:rsidRPr="00343516">
        <w:rPr>
          <w:rFonts w:cs="Arial"/>
        </w:rPr>
        <w:t>A comparison showing the number of schools in deficit in recent years is provided below:</w:t>
      </w:r>
    </w:p>
    <w:p w:rsidR="00E2507D" w:rsidRPr="00343516" w:rsidP="00E2507D">
      <w:pPr>
        <w:spacing w:after="0"/>
        <w:rPr>
          <w:rFonts w:cs="Arial"/>
        </w:rPr>
      </w:pPr>
    </w:p>
    <w:tbl>
      <w:tblPr>
        <w:tblStyle w:val="TableGrid"/>
        <w:tblW w:w="0" w:type="auto"/>
        <w:tblLook w:val="04A0"/>
      </w:tblPr>
      <w:tblGrid>
        <w:gridCol w:w="4487"/>
        <w:gridCol w:w="4488"/>
      </w:tblGrid>
      <w:tr w:rsidTr="00E2507D">
        <w:tblPrEx>
          <w:tblW w:w="0" w:type="auto"/>
          <w:tblLook w:val="04A0"/>
        </w:tblPrEx>
        <w:tc>
          <w:tcPr>
            <w:tcW w:w="4508" w:type="dxa"/>
          </w:tcPr>
          <w:p w:rsidR="00E2507D" w:rsidRPr="00343516" w:rsidP="00E2507D">
            <w:pPr>
              <w:jc w:val="center"/>
              <w:rPr>
                <w:rFonts w:cs="Arial"/>
                <w:b/>
                <w:bCs/>
              </w:rPr>
            </w:pPr>
            <w:r w:rsidRPr="00343516">
              <w:rPr>
                <w:rFonts w:cs="Arial"/>
                <w:b/>
                <w:bCs/>
              </w:rPr>
              <w:t xml:space="preserve">Year End </w:t>
            </w:r>
          </w:p>
        </w:tc>
        <w:tc>
          <w:tcPr>
            <w:tcW w:w="4508" w:type="dxa"/>
          </w:tcPr>
          <w:p w:rsidR="00E2507D" w:rsidRPr="00343516" w:rsidP="00E2507D">
            <w:pPr>
              <w:jc w:val="center"/>
              <w:rPr>
                <w:rFonts w:cs="Arial"/>
                <w:b/>
                <w:bCs/>
              </w:rPr>
            </w:pPr>
            <w:r w:rsidRPr="00343516">
              <w:rPr>
                <w:rFonts w:cs="Arial"/>
                <w:b/>
                <w:bCs/>
              </w:rPr>
              <w:t>Number of schools in deficit</w:t>
            </w:r>
          </w:p>
        </w:tc>
      </w:tr>
      <w:tr w:rsidTr="00E2507D">
        <w:tblPrEx>
          <w:tblW w:w="0" w:type="auto"/>
          <w:tblLook w:val="04A0"/>
        </w:tblPrEx>
        <w:tc>
          <w:tcPr>
            <w:tcW w:w="4508" w:type="dxa"/>
          </w:tcPr>
          <w:p w:rsidR="00E2507D" w:rsidRPr="00343516" w:rsidP="00E2507D">
            <w:pPr>
              <w:rPr>
                <w:rFonts w:cs="Arial"/>
              </w:rPr>
            </w:pPr>
            <w:r>
              <w:rPr>
                <w:rFonts w:cs="Arial"/>
              </w:rPr>
              <w:t>31 March 2020</w:t>
            </w:r>
          </w:p>
        </w:tc>
        <w:tc>
          <w:tcPr>
            <w:tcW w:w="4508" w:type="dxa"/>
          </w:tcPr>
          <w:p w:rsidR="00E2507D" w:rsidRPr="00343516" w:rsidP="00E2507D">
            <w:pPr>
              <w:jc w:val="center"/>
              <w:rPr>
                <w:rFonts w:cs="Arial"/>
              </w:rPr>
            </w:pPr>
            <w:r w:rsidRPr="00343516">
              <w:rPr>
                <w:rFonts w:cs="Arial"/>
              </w:rPr>
              <w:t>41</w:t>
            </w:r>
          </w:p>
        </w:tc>
      </w:tr>
      <w:tr w:rsidTr="00E2507D">
        <w:tblPrEx>
          <w:tblW w:w="0" w:type="auto"/>
          <w:tblLook w:val="04A0"/>
        </w:tblPrEx>
        <w:tc>
          <w:tcPr>
            <w:tcW w:w="4508" w:type="dxa"/>
          </w:tcPr>
          <w:p w:rsidR="00E2507D" w:rsidRPr="00343516" w:rsidP="00E2507D">
            <w:pPr>
              <w:rPr>
                <w:rFonts w:cs="Arial"/>
              </w:rPr>
            </w:pPr>
            <w:r w:rsidRPr="00343516">
              <w:rPr>
                <w:rFonts w:cs="Arial"/>
              </w:rPr>
              <w:t>31 March 2019</w:t>
            </w:r>
          </w:p>
        </w:tc>
        <w:tc>
          <w:tcPr>
            <w:tcW w:w="4508" w:type="dxa"/>
          </w:tcPr>
          <w:p w:rsidR="00E2507D" w:rsidRPr="00343516" w:rsidP="00E2507D">
            <w:pPr>
              <w:jc w:val="center"/>
              <w:rPr>
                <w:rFonts w:cs="Arial"/>
              </w:rPr>
            </w:pPr>
            <w:r w:rsidRPr="00343516">
              <w:rPr>
                <w:rFonts w:cs="Arial"/>
              </w:rPr>
              <w:t>39</w:t>
            </w:r>
          </w:p>
        </w:tc>
      </w:tr>
      <w:tr w:rsidTr="00E2507D">
        <w:tblPrEx>
          <w:tblW w:w="0" w:type="auto"/>
          <w:tblLook w:val="04A0"/>
        </w:tblPrEx>
        <w:tc>
          <w:tcPr>
            <w:tcW w:w="4508" w:type="dxa"/>
          </w:tcPr>
          <w:p w:rsidR="00E2507D" w:rsidRPr="00343516" w:rsidP="00E2507D">
            <w:pPr>
              <w:rPr>
                <w:rFonts w:cs="Arial"/>
              </w:rPr>
            </w:pPr>
            <w:r w:rsidRPr="00343516">
              <w:rPr>
                <w:rFonts w:cs="Arial"/>
              </w:rPr>
              <w:t>31 March 2018</w:t>
            </w:r>
          </w:p>
        </w:tc>
        <w:tc>
          <w:tcPr>
            <w:tcW w:w="4508" w:type="dxa"/>
          </w:tcPr>
          <w:p w:rsidR="00E2507D" w:rsidRPr="00343516" w:rsidP="00E2507D">
            <w:pPr>
              <w:jc w:val="center"/>
              <w:rPr>
                <w:rFonts w:cs="Arial"/>
              </w:rPr>
            </w:pPr>
            <w:r w:rsidRPr="00343516">
              <w:rPr>
                <w:rFonts w:cs="Arial"/>
              </w:rPr>
              <w:t>47</w:t>
            </w:r>
          </w:p>
        </w:tc>
      </w:tr>
      <w:tr w:rsidTr="00E2507D">
        <w:tblPrEx>
          <w:tblW w:w="0" w:type="auto"/>
          <w:tblLook w:val="04A0"/>
        </w:tblPrEx>
        <w:tc>
          <w:tcPr>
            <w:tcW w:w="4508" w:type="dxa"/>
          </w:tcPr>
          <w:p w:rsidR="00E2507D" w:rsidRPr="00343516" w:rsidP="00E2507D">
            <w:pPr>
              <w:rPr>
                <w:rFonts w:cs="Arial"/>
              </w:rPr>
            </w:pPr>
            <w:r w:rsidRPr="00343516">
              <w:rPr>
                <w:rFonts w:cs="Arial"/>
              </w:rPr>
              <w:t>31 March 2017</w:t>
            </w:r>
          </w:p>
        </w:tc>
        <w:tc>
          <w:tcPr>
            <w:tcW w:w="4508" w:type="dxa"/>
          </w:tcPr>
          <w:p w:rsidR="00E2507D" w:rsidRPr="00343516" w:rsidP="00E2507D">
            <w:pPr>
              <w:jc w:val="center"/>
              <w:rPr>
                <w:rFonts w:cs="Arial"/>
              </w:rPr>
            </w:pPr>
            <w:r w:rsidRPr="00343516">
              <w:rPr>
                <w:rFonts w:cs="Arial"/>
              </w:rPr>
              <w:t>40</w:t>
            </w:r>
          </w:p>
        </w:tc>
      </w:tr>
      <w:tr w:rsidTr="00E2507D">
        <w:tblPrEx>
          <w:tblW w:w="0" w:type="auto"/>
          <w:tblLook w:val="04A0"/>
        </w:tblPrEx>
        <w:tc>
          <w:tcPr>
            <w:tcW w:w="4508" w:type="dxa"/>
          </w:tcPr>
          <w:p w:rsidR="00E2507D" w:rsidRPr="00343516" w:rsidP="00E2507D">
            <w:pPr>
              <w:rPr>
                <w:rFonts w:cs="Arial"/>
              </w:rPr>
            </w:pPr>
            <w:r w:rsidRPr="00343516">
              <w:rPr>
                <w:rFonts w:cs="Arial"/>
              </w:rPr>
              <w:t>31 March 2016</w:t>
            </w:r>
          </w:p>
        </w:tc>
        <w:tc>
          <w:tcPr>
            <w:tcW w:w="4508" w:type="dxa"/>
          </w:tcPr>
          <w:p w:rsidR="00E2507D" w:rsidRPr="00343516" w:rsidP="00E2507D">
            <w:pPr>
              <w:jc w:val="center"/>
              <w:rPr>
                <w:rFonts w:cs="Arial"/>
              </w:rPr>
            </w:pPr>
            <w:r w:rsidRPr="00343516">
              <w:rPr>
                <w:rFonts w:cs="Arial"/>
              </w:rPr>
              <w:t>25</w:t>
            </w:r>
          </w:p>
        </w:tc>
      </w:tr>
      <w:tr w:rsidTr="00E2507D">
        <w:tblPrEx>
          <w:tblW w:w="0" w:type="auto"/>
          <w:tblLook w:val="04A0"/>
        </w:tblPrEx>
        <w:tc>
          <w:tcPr>
            <w:tcW w:w="4508" w:type="dxa"/>
          </w:tcPr>
          <w:p w:rsidR="00E2507D" w:rsidRPr="00343516" w:rsidP="00E2507D">
            <w:pPr>
              <w:rPr>
                <w:rFonts w:cs="Arial"/>
              </w:rPr>
            </w:pPr>
            <w:r w:rsidRPr="00343516">
              <w:rPr>
                <w:rFonts w:cs="Arial"/>
              </w:rPr>
              <w:t>31 March 2015</w:t>
            </w:r>
          </w:p>
        </w:tc>
        <w:tc>
          <w:tcPr>
            <w:tcW w:w="4508" w:type="dxa"/>
          </w:tcPr>
          <w:p w:rsidR="00E2507D" w:rsidRPr="00343516" w:rsidP="00E2507D">
            <w:pPr>
              <w:jc w:val="center"/>
              <w:rPr>
                <w:rFonts w:cs="Arial"/>
              </w:rPr>
            </w:pPr>
            <w:r w:rsidRPr="00343516">
              <w:rPr>
                <w:rFonts w:cs="Arial"/>
              </w:rPr>
              <w:t>18</w:t>
            </w:r>
          </w:p>
        </w:tc>
      </w:tr>
    </w:tbl>
    <w:p w:rsidR="00E2507D" w:rsidRPr="00343516" w:rsidP="00E2507D">
      <w:pPr>
        <w:spacing w:after="0"/>
        <w:rPr>
          <w:rFonts w:cs="Arial"/>
          <w:b/>
          <w:highlight w:val="yellow"/>
        </w:rPr>
      </w:pPr>
      <w:r w:rsidRPr="00343516">
        <w:rPr>
          <w:rFonts w:cs="Arial"/>
          <w:b/>
          <w:highlight w:val="yellow"/>
        </w:rPr>
        <w:br w:type="page"/>
      </w:r>
    </w:p>
    <w:p w:rsidR="00E2507D" w:rsidRPr="00343516" w:rsidP="00E2507D">
      <w:pPr>
        <w:spacing w:after="0"/>
        <w:rPr>
          <w:rFonts w:cs="Arial"/>
          <w:b/>
          <w:highlight w:val="yellow"/>
        </w:rPr>
      </w:pPr>
    </w:p>
    <w:p w:rsidR="00E2507D" w:rsidRPr="00343516" w:rsidP="00E2507D">
      <w:pPr>
        <w:spacing w:after="0"/>
        <w:rPr>
          <w:rFonts w:cs="Arial"/>
          <w:b/>
        </w:rPr>
      </w:pPr>
      <w:r w:rsidRPr="00343516">
        <w:rPr>
          <w:rFonts w:cs="Arial"/>
          <w:b/>
        </w:rPr>
        <w:t>Aggregate School Balances by Year</w:t>
      </w:r>
    </w:p>
    <w:p w:rsidR="00E2507D" w:rsidRPr="00343516" w:rsidP="00E2507D">
      <w:pPr>
        <w:spacing w:after="0"/>
        <w:rPr>
          <w:rFonts w:cs="Arial"/>
          <w:b/>
        </w:rPr>
      </w:pPr>
      <w:r w:rsidRPr="00343516">
        <w:rPr>
          <w:rFonts w:cs="Arial"/>
          <w:noProof/>
          <w:lang w:eastAsia="en-GB"/>
        </w:rPr>
        <w:drawing>
          <wp:inline distT="0" distB="0" distL="0" distR="0">
            <wp:extent cx="5667375" cy="3023870"/>
            <wp:effectExtent l="0" t="0" r="9525" b="50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2507D" w:rsidRPr="00343516" w:rsidP="00E2507D">
      <w:pPr>
        <w:spacing w:after="0"/>
        <w:rPr>
          <w:rFonts w:cs="Arial"/>
        </w:rPr>
      </w:pPr>
    </w:p>
    <w:p w:rsidR="00E2507D" w:rsidRPr="00343516" w:rsidP="00E2507D">
      <w:pPr>
        <w:spacing w:after="0"/>
        <w:rPr>
          <w:rFonts w:cs="Arial"/>
        </w:rPr>
      </w:pPr>
      <w:r w:rsidRPr="00343516">
        <w:rPr>
          <w:rFonts w:cs="Arial"/>
        </w:rPr>
        <w:t>The graph demonstrates the trend in aggregate school balances over recent years.  Aggregate balances at 31 March 2020 have rebounded from their recent low point in 2018/19.  School balances peaked in 2014/15.</w:t>
      </w:r>
    </w:p>
    <w:p w:rsidR="00E2507D" w:rsidRPr="00343516" w:rsidP="00E2507D">
      <w:pPr>
        <w:spacing w:after="0"/>
        <w:rPr>
          <w:rFonts w:cs="Arial"/>
        </w:rPr>
      </w:pPr>
    </w:p>
    <w:p w:rsidR="00E2507D" w:rsidRPr="00343516" w:rsidP="00E2507D">
      <w:pPr>
        <w:spacing w:after="0"/>
        <w:rPr>
          <w:rFonts w:cs="Arial"/>
        </w:rPr>
      </w:pPr>
      <w:r w:rsidRPr="00343516">
        <w:rPr>
          <w:rFonts w:cs="Arial"/>
        </w:rPr>
        <w:t xml:space="preserve">To provide context for the total school balances, the current authority guideline for schools is to have reserves equating to 12% of their total Combined Financial Reporting (CFR) income or a minimum of £60,000. This is to ensure that individual schools can withstand potential financial risks and financial stresses.  If all Lancashire schools held the guideline balance, the total balance would have been circa £102m, compared to the actual balances held of circa £47m.  </w:t>
      </w:r>
    </w:p>
    <w:p w:rsidR="00E2507D" w:rsidRPr="00343516" w:rsidP="00E2507D">
      <w:pPr>
        <w:spacing w:after="0"/>
        <w:rPr>
          <w:rFonts w:cs="Arial"/>
          <w:highlight w:val="yellow"/>
        </w:rPr>
      </w:pPr>
    </w:p>
    <w:p w:rsidR="00E2507D" w:rsidRPr="00343516" w:rsidP="00E2507D">
      <w:pPr>
        <w:spacing w:after="0"/>
        <w:rPr>
          <w:rFonts w:cs="Arial"/>
          <w:b/>
        </w:rPr>
      </w:pPr>
      <w:r w:rsidRPr="00343516">
        <w:rPr>
          <w:rFonts w:cs="Arial"/>
          <w:b/>
        </w:rPr>
        <w:t>Support for Schools in Deficit</w:t>
      </w:r>
    </w:p>
    <w:p w:rsidR="00E2507D" w:rsidRPr="00343516" w:rsidP="00E2507D">
      <w:pPr>
        <w:spacing w:after="0"/>
        <w:rPr>
          <w:rFonts w:cs="Arial"/>
        </w:rPr>
      </w:pPr>
      <w:r w:rsidRPr="00343516">
        <w:rPr>
          <w:rFonts w:cs="Arial"/>
        </w:rPr>
        <w:t>Throughout the year, the County Council continued to provide significant targeted support and enhanced monitoring and early warning around Schools in Financial Difficulty.  However, the financial environment for schools remains extremely difficult, with a number of key challenges continuing across all school sectors.</w:t>
      </w:r>
    </w:p>
    <w:p w:rsidR="00E2507D" w:rsidRPr="00343516" w:rsidP="00E2507D">
      <w:pPr>
        <w:spacing w:after="0"/>
        <w:rPr>
          <w:rFonts w:cs="Arial"/>
        </w:rPr>
      </w:pPr>
    </w:p>
    <w:p w:rsidR="00E2507D" w:rsidRPr="00343516" w:rsidP="00E2507D">
      <w:pPr>
        <w:spacing w:after="0"/>
        <w:rPr>
          <w:rFonts w:cs="Arial"/>
        </w:rPr>
      </w:pPr>
      <w:r w:rsidRPr="00343516">
        <w:rPr>
          <w:rFonts w:cs="Arial"/>
        </w:rPr>
        <w:t xml:space="preserve">A specific review of the financial stability of the nursery school sector was commenced during the year, but has been paused due to the COVID-19 pandemic. </w:t>
      </w:r>
    </w:p>
    <w:p w:rsidR="00E2507D" w:rsidRPr="00343516" w:rsidP="00E2507D">
      <w:pPr>
        <w:spacing w:after="0"/>
        <w:rPr>
          <w:rFonts w:cs="Arial"/>
        </w:rPr>
      </w:pPr>
    </w:p>
    <w:p w:rsidR="00E2507D" w:rsidRPr="00343516" w:rsidP="00E2507D">
      <w:pPr>
        <w:spacing w:after="0"/>
        <w:rPr>
          <w:rFonts w:cs="Arial"/>
        </w:rPr>
      </w:pPr>
      <w:r w:rsidRPr="00343516">
        <w:rPr>
          <w:rFonts w:cs="Arial"/>
        </w:rPr>
        <w:t>Financial support will continue throughout 2020/21 with differing delivery methods being utilised during the current coronavirus outbreak.  Budget monitoring will also asses the financial impact on individual schools associated with the operational changes necessitated by COVID-19 and the increased level of DSG funding that was allocated in Lancashire from April 2020.</w:t>
      </w:r>
    </w:p>
    <w:p w:rsidR="00E2507D" w:rsidRPr="00343516" w:rsidP="00E2507D">
      <w:pPr>
        <w:spacing w:after="0"/>
        <w:rPr>
          <w:rFonts w:cs="Arial"/>
          <w:highlight w:val="yellow"/>
        </w:rPr>
      </w:pPr>
    </w:p>
    <w:p w:rsidR="00E2507D" w:rsidRPr="00343516" w:rsidP="00E2507D">
      <w:pPr>
        <w:spacing w:after="0"/>
        <w:rPr>
          <w:rFonts w:cs="Arial"/>
          <w:highlight w:val="yellow"/>
        </w:rPr>
      </w:pPr>
    </w:p>
    <w:p w:rsidR="00E2507D" w:rsidRPr="00343516" w:rsidP="00E2507D">
      <w:pPr>
        <w:spacing w:after="0"/>
        <w:rPr>
          <w:rFonts w:cs="Arial"/>
          <w:highlight w:val="yellow"/>
        </w:rPr>
      </w:pPr>
    </w:p>
    <w:p w:rsidR="00E2507D" w:rsidRPr="00343516" w:rsidP="00E2507D">
      <w:pPr>
        <w:spacing w:after="0"/>
        <w:rPr>
          <w:rFonts w:cs="Arial"/>
          <w:b/>
          <w:bCs/>
        </w:rPr>
      </w:pPr>
    </w:p>
    <w:p w:rsidR="00E2507D" w:rsidRPr="00343516" w:rsidP="00E2507D">
      <w:pPr>
        <w:spacing w:after="0"/>
        <w:rPr>
          <w:rFonts w:cs="Arial"/>
        </w:rPr>
      </w:pPr>
      <w:bookmarkStart w:id="2" w:name="_MON_1460272142"/>
      <w:bookmarkEnd w:id="2"/>
    </w:p>
    <w:p w:rsidR="00E2507D" w:rsidRPr="00343516" w:rsidP="00E2507D">
      <w:pPr>
        <w:spacing w:after="0"/>
        <w:rPr>
          <w:rFonts w:cs="Arial"/>
        </w:rPr>
      </w:pPr>
    </w:p>
    <w:p w:rsidR="00E2507D" w:rsidRPr="00343516" w:rsidP="00E2507D">
      <w:pPr>
        <w:spacing w:after="0"/>
        <w:rPr>
          <w:rFonts w:cs="Arial"/>
        </w:rPr>
      </w:pPr>
    </w:p>
    <w:p w:rsidR="00E2507D" w:rsidRPr="0062237E" w:rsidP="00E2507D">
      <w:pPr>
        <w:spacing w:after="0"/>
        <w:rPr>
          <w:rFonts w:cs="Arial"/>
          <w:b/>
        </w:rPr>
      </w:pPr>
      <w:r w:rsidRPr="0062237E">
        <w:rPr>
          <w:rFonts w:cs="Arial"/>
          <w:b/>
        </w:rPr>
        <w:t>Schools Reserves**</w:t>
      </w:r>
    </w:p>
    <w:p w:rsidR="00E2507D" w:rsidRPr="0062237E" w:rsidP="00E2507D">
      <w:pPr>
        <w:spacing w:after="0"/>
        <w:rPr>
          <w:rFonts w:cs="Arial"/>
          <w:b/>
        </w:rPr>
      </w:pPr>
    </w:p>
    <w:tbl>
      <w:tblPr>
        <w:tblW w:w="8926" w:type="dxa"/>
        <w:tblLayout w:type="fixed"/>
        <w:tblLook w:val="04A0"/>
      </w:tblPr>
      <w:tblGrid>
        <w:gridCol w:w="2231"/>
        <w:gridCol w:w="2232"/>
        <w:gridCol w:w="2231"/>
        <w:gridCol w:w="2232"/>
      </w:tblGrid>
      <w:tr w:rsidTr="00E2507D">
        <w:tblPrEx>
          <w:tblW w:w="8926" w:type="dxa"/>
          <w:tblLayout w:type="fixed"/>
          <w:tblLook w:val="04A0"/>
        </w:tblPrEx>
        <w:trPr>
          <w:trHeight w:val="20"/>
        </w:trPr>
        <w:tc>
          <w:tcPr>
            <w:tcW w:w="2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7D" w:rsidRPr="0062237E" w:rsidP="00E2507D">
            <w:pPr>
              <w:spacing w:after="0"/>
              <w:rPr>
                <w:rFonts w:cs="Arial"/>
                <w:b/>
                <w:bCs/>
              </w:rPr>
            </w:pPr>
            <w:r w:rsidRPr="0062237E">
              <w:rPr>
                <w:rFonts w:cs="Arial"/>
                <w:b/>
                <w:bCs/>
              </w:rPr>
              <w:t>Schools Reserves</w:t>
            </w:r>
          </w:p>
        </w:tc>
        <w:tc>
          <w:tcPr>
            <w:tcW w:w="2232" w:type="dxa"/>
            <w:tcBorders>
              <w:top w:val="single" w:sz="4" w:space="0" w:color="auto"/>
              <w:left w:val="nil"/>
              <w:bottom w:val="single" w:sz="4" w:space="0" w:color="auto"/>
              <w:right w:val="single" w:sz="4" w:space="0" w:color="auto"/>
            </w:tcBorders>
            <w:shd w:val="clear" w:color="auto" w:fill="auto"/>
            <w:vAlign w:val="center"/>
            <w:hideMark/>
          </w:tcPr>
          <w:p w:rsidR="00E2507D" w:rsidRPr="0062237E" w:rsidP="00E2507D">
            <w:pPr>
              <w:spacing w:after="0"/>
              <w:rPr>
                <w:rFonts w:cs="Arial"/>
                <w:b/>
                <w:bCs/>
              </w:rPr>
            </w:pPr>
            <w:r w:rsidRPr="0062237E">
              <w:rPr>
                <w:rFonts w:cs="Arial"/>
                <w:b/>
                <w:bCs/>
              </w:rPr>
              <w:t>Opening Balance</w:t>
            </w:r>
          </w:p>
          <w:p w:rsidR="00E2507D" w:rsidRPr="0062237E" w:rsidP="00E2507D">
            <w:pPr>
              <w:spacing w:after="0"/>
              <w:rPr>
                <w:rFonts w:cs="Arial"/>
                <w:b/>
                <w:bCs/>
              </w:rPr>
            </w:pPr>
            <w:r w:rsidRPr="0062237E">
              <w:rPr>
                <w:rFonts w:cs="Arial"/>
                <w:b/>
                <w:bCs/>
              </w:rPr>
              <w:t>as at 1 April 19</w:t>
            </w:r>
          </w:p>
        </w:tc>
        <w:tc>
          <w:tcPr>
            <w:tcW w:w="2231" w:type="dxa"/>
            <w:tcBorders>
              <w:top w:val="single" w:sz="4" w:space="0" w:color="auto"/>
              <w:left w:val="nil"/>
              <w:bottom w:val="single" w:sz="4" w:space="0" w:color="auto"/>
              <w:right w:val="single" w:sz="4" w:space="0" w:color="auto"/>
            </w:tcBorders>
            <w:shd w:val="clear" w:color="auto" w:fill="auto"/>
            <w:vAlign w:val="center"/>
            <w:hideMark/>
          </w:tcPr>
          <w:p w:rsidR="00E2507D" w:rsidRPr="0062237E" w:rsidP="00E2507D">
            <w:pPr>
              <w:spacing w:after="0"/>
              <w:rPr>
                <w:rFonts w:cs="Arial"/>
                <w:b/>
                <w:bCs/>
              </w:rPr>
            </w:pPr>
            <w:r w:rsidRPr="0062237E">
              <w:rPr>
                <w:rFonts w:cs="Arial"/>
                <w:b/>
                <w:bCs/>
              </w:rPr>
              <w:t>In Year Changes</w:t>
            </w:r>
          </w:p>
        </w:tc>
        <w:tc>
          <w:tcPr>
            <w:tcW w:w="2232" w:type="dxa"/>
            <w:tcBorders>
              <w:top w:val="single" w:sz="4" w:space="0" w:color="auto"/>
              <w:left w:val="nil"/>
              <w:bottom w:val="single" w:sz="4" w:space="0" w:color="auto"/>
              <w:right w:val="single" w:sz="4" w:space="0" w:color="auto"/>
            </w:tcBorders>
            <w:shd w:val="clear" w:color="auto" w:fill="auto"/>
            <w:vAlign w:val="center"/>
            <w:hideMark/>
          </w:tcPr>
          <w:p w:rsidR="00E2507D" w:rsidRPr="0062237E" w:rsidP="00E2507D">
            <w:pPr>
              <w:spacing w:after="0"/>
              <w:rPr>
                <w:rFonts w:cs="Arial"/>
                <w:b/>
                <w:bCs/>
              </w:rPr>
            </w:pPr>
            <w:r w:rsidRPr="0062237E">
              <w:rPr>
                <w:rFonts w:cs="Arial"/>
                <w:b/>
                <w:bCs/>
              </w:rPr>
              <w:t>Closing Balance as at 31 March 20</w:t>
            </w:r>
          </w:p>
        </w:tc>
      </w:tr>
      <w:tr w:rsidTr="00E2507D">
        <w:tblPrEx>
          <w:tblW w:w="8926" w:type="dxa"/>
          <w:tblLayout w:type="fixed"/>
          <w:tblLook w:val="04A0"/>
        </w:tblPrEx>
        <w:trPr>
          <w:trHeight w:val="20"/>
        </w:trPr>
        <w:tc>
          <w:tcPr>
            <w:tcW w:w="2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507D" w:rsidRPr="0062237E" w:rsidP="00E2507D">
            <w:pPr>
              <w:spacing w:after="0"/>
              <w:rPr>
                <w:rFonts w:cs="Arial"/>
              </w:rPr>
            </w:pPr>
          </w:p>
        </w:tc>
        <w:tc>
          <w:tcPr>
            <w:tcW w:w="2232" w:type="dxa"/>
            <w:tcBorders>
              <w:top w:val="single" w:sz="4" w:space="0" w:color="auto"/>
              <w:left w:val="nil"/>
              <w:bottom w:val="single" w:sz="4" w:space="0" w:color="auto"/>
              <w:right w:val="single" w:sz="4" w:space="0" w:color="auto"/>
            </w:tcBorders>
            <w:shd w:val="clear" w:color="auto" w:fill="auto"/>
            <w:vAlign w:val="center"/>
          </w:tcPr>
          <w:p w:rsidR="00E2507D" w:rsidRPr="0062237E" w:rsidP="00E2507D">
            <w:pPr>
              <w:spacing w:after="0"/>
              <w:jc w:val="center"/>
              <w:rPr>
                <w:rFonts w:cs="Arial"/>
              </w:rPr>
            </w:pPr>
            <w:r w:rsidRPr="0062237E">
              <w:rPr>
                <w:rFonts w:cs="Arial"/>
                <w:b/>
                <w:bCs/>
              </w:rPr>
              <w:t>£m</w:t>
            </w:r>
          </w:p>
        </w:tc>
        <w:tc>
          <w:tcPr>
            <w:tcW w:w="2231" w:type="dxa"/>
            <w:tcBorders>
              <w:top w:val="single" w:sz="4" w:space="0" w:color="auto"/>
              <w:left w:val="nil"/>
              <w:bottom w:val="single" w:sz="4" w:space="0" w:color="auto"/>
              <w:right w:val="single" w:sz="4" w:space="0" w:color="auto"/>
            </w:tcBorders>
            <w:shd w:val="clear" w:color="auto" w:fill="auto"/>
            <w:vAlign w:val="center"/>
          </w:tcPr>
          <w:p w:rsidR="00E2507D" w:rsidRPr="0062237E" w:rsidP="00E2507D">
            <w:pPr>
              <w:spacing w:after="0"/>
              <w:jc w:val="center"/>
              <w:rPr>
                <w:rFonts w:cs="Arial"/>
              </w:rPr>
            </w:pPr>
            <w:r w:rsidRPr="0062237E">
              <w:rPr>
                <w:rFonts w:cs="Arial"/>
                <w:b/>
                <w:bCs/>
              </w:rPr>
              <w:t>£m</w:t>
            </w:r>
          </w:p>
        </w:tc>
        <w:tc>
          <w:tcPr>
            <w:tcW w:w="2232" w:type="dxa"/>
            <w:tcBorders>
              <w:top w:val="single" w:sz="4" w:space="0" w:color="auto"/>
              <w:left w:val="nil"/>
              <w:bottom w:val="single" w:sz="4" w:space="0" w:color="auto"/>
              <w:right w:val="single" w:sz="4" w:space="0" w:color="auto"/>
            </w:tcBorders>
            <w:shd w:val="clear" w:color="auto" w:fill="auto"/>
            <w:vAlign w:val="center"/>
          </w:tcPr>
          <w:p w:rsidR="00E2507D" w:rsidRPr="0062237E" w:rsidP="00E2507D">
            <w:pPr>
              <w:spacing w:after="0"/>
              <w:jc w:val="center"/>
              <w:rPr>
                <w:rFonts w:cs="Arial"/>
              </w:rPr>
            </w:pPr>
            <w:r w:rsidRPr="0062237E">
              <w:rPr>
                <w:rFonts w:cs="Arial"/>
                <w:b/>
                <w:bCs/>
              </w:rPr>
              <w:t>£m</w:t>
            </w:r>
          </w:p>
        </w:tc>
      </w:tr>
      <w:tr w:rsidTr="00E2507D">
        <w:tblPrEx>
          <w:tblW w:w="8926" w:type="dxa"/>
          <w:tblLayout w:type="fixed"/>
          <w:tblLook w:val="04A0"/>
        </w:tblPrEx>
        <w:trPr>
          <w:trHeight w:val="20"/>
        </w:trPr>
        <w:tc>
          <w:tcPr>
            <w:tcW w:w="2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7D" w:rsidRPr="0062237E" w:rsidP="00E2507D">
            <w:pPr>
              <w:spacing w:after="0"/>
              <w:rPr>
                <w:rFonts w:cs="Arial"/>
                <w:bCs/>
              </w:rPr>
            </w:pPr>
            <w:r w:rsidRPr="0062237E">
              <w:rPr>
                <w:rFonts w:cs="Arial"/>
                <w:bCs/>
              </w:rPr>
              <w:t>Individual Schools Reserves</w:t>
            </w:r>
          </w:p>
        </w:tc>
        <w:tc>
          <w:tcPr>
            <w:tcW w:w="2232" w:type="dxa"/>
            <w:tcBorders>
              <w:top w:val="nil"/>
              <w:left w:val="nil"/>
              <w:bottom w:val="single" w:sz="4" w:space="0" w:color="auto"/>
              <w:right w:val="single" w:sz="4" w:space="0" w:color="auto"/>
            </w:tcBorders>
            <w:shd w:val="clear" w:color="auto" w:fill="auto"/>
            <w:vAlign w:val="center"/>
            <w:hideMark/>
          </w:tcPr>
          <w:p w:rsidR="00E2507D" w:rsidRPr="0062237E" w:rsidP="00E2507D">
            <w:pPr>
              <w:spacing w:after="0"/>
              <w:jc w:val="center"/>
              <w:rPr>
                <w:rFonts w:cs="Arial"/>
              </w:rPr>
            </w:pPr>
            <w:r w:rsidRPr="0062237E">
              <w:rPr>
                <w:rFonts w:cs="Arial"/>
              </w:rPr>
              <w:t>45.567</w:t>
            </w:r>
          </w:p>
        </w:tc>
        <w:tc>
          <w:tcPr>
            <w:tcW w:w="2231" w:type="dxa"/>
            <w:tcBorders>
              <w:top w:val="nil"/>
              <w:left w:val="nil"/>
              <w:bottom w:val="single" w:sz="4" w:space="0" w:color="auto"/>
              <w:right w:val="single" w:sz="4" w:space="0" w:color="auto"/>
            </w:tcBorders>
            <w:shd w:val="clear" w:color="auto" w:fill="auto"/>
            <w:vAlign w:val="center"/>
            <w:hideMark/>
          </w:tcPr>
          <w:p w:rsidR="00E2507D" w:rsidRPr="0062237E" w:rsidP="00E2507D">
            <w:pPr>
              <w:spacing w:after="0"/>
              <w:jc w:val="center"/>
              <w:rPr>
                <w:rFonts w:cs="Arial"/>
              </w:rPr>
            </w:pPr>
            <w:r w:rsidRPr="0062237E">
              <w:rPr>
                <w:rFonts w:cs="Arial"/>
              </w:rPr>
              <w:t>1.752</w:t>
            </w:r>
          </w:p>
        </w:tc>
        <w:tc>
          <w:tcPr>
            <w:tcW w:w="2232" w:type="dxa"/>
            <w:tcBorders>
              <w:top w:val="nil"/>
              <w:left w:val="nil"/>
              <w:bottom w:val="single" w:sz="4" w:space="0" w:color="auto"/>
              <w:right w:val="single" w:sz="4" w:space="0" w:color="auto"/>
            </w:tcBorders>
            <w:shd w:val="clear" w:color="auto" w:fill="auto"/>
            <w:vAlign w:val="center"/>
            <w:hideMark/>
          </w:tcPr>
          <w:p w:rsidR="00E2507D" w:rsidRPr="0062237E" w:rsidP="00E2507D">
            <w:pPr>
              <w:spacing w:after="0"/>
              <w:jc w:val="center"/>
              <w:rPr>
                <w:rFonts w:cs="Arial"/>
              </w:rPr>
            </w:pPr>
            <w:r w:rsidRPr="0062237E">
              <w:rPr>
                <w:rFonts w:cs="Arial"/>
              </w:rPr>
              <w:t>47.319</w:t>
            </w:r>
          </w:p>
        </w:tc>
      </w:tr>
      <w:tr w:rsidTr="00E2507D">
        <w:tblPrEx>
          <w:tblW w:w="8926" w:type="dxa"/>
          <w:tblLayout w:type="fixed"/>
          <w:tblLook w:val="04A0"/>
        </w:tblPrEx>
        <w:trPr>
          <w:trHeight w:val="20"/>
        </w:trPr>
        <w:tc>
          <w:tcPr>
            <w:tcW w:w="2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7D" w:rsidRPr="006213EE" w:rsidP="00E2507D">
            <w:pPr>
              <w:spacing w:after="0"/>
              <w:rPr>
                <w:rFonts w:cs="Arial"/>
                <w:bCs/>
              </w:rPr>
            </w:pPr>
            <w:r w:rsidRPr="006213EE">
              <w:rPr>
                <w:rFonts w:cs="Arial"/>
                <w:bCs/>
              </w:rPr>
              <w:t>Other Schools Reserves</w:t>
            </w:r>
          </w:p>
        </w:tc>
        <w:tc>
          <w:tcPr>
            <w:tcW w:w="2232" w:type="dxa"/>
            <w:tcBorders>
              <w:top w:val="single" w:sz="4" w:space="0" w:color="auto"/>
              <w:left w:val="nil"/>
              <w:bottom w:val="single" w:sz="4" w:space="0" w:color="auto"/>
              <w:right w:val="single" w:sz="4" w:space="0" w:color="auto"/>
            </w:tcBorders>
            <w:shd w:val="clear" w:color="auto" w:fill="auto"/>
            <w:vAlign w:val="center"/>
            <w:hideMark/>
          </w:tcPr>
          <w:p w:rsidR="00E2507D" w:rsidRPr="006213EE" w:rsidP="00E2507D">
            <w:pPr>
              <w:spacing w:after="0"/>
              <w:jc w:val="center"/>
              <w:rPr>
                <w:rFonts w:cs="Arial"/>
                <w:bCs/>
              </w:rPr>
            </w:pPr>
            <w:r w:rsidRPr="006213EE">
              <w:rPr>
                <w:rFonts w:cs="Arial"/>
              </w:rPr>
              <w:t>19.920</w:t>
            </w:r>
          </w:p>
        </w:tc>
        <w:tc>
          <w:tcPr>
            <w:tcW w:w="2231" w:type="dxa"/>
            <w:tcBorders>
              <w:top w:val="single" w:sz="4" w:space="0" w:color="auto"/>
              <w:left w:val="nil"/>
              <w:bottom w:val="single" w:sz="4" w:space="0" w:color="auto"/>
              <w:right w:val="single" w:sz="4" w:space="0" w:color="auto"/>
            </w:tcBorders>
            <w:shd w:val="clear" w:color="auto" w:fill="auto"/>
            <w:vAlign w:val="center"/>
            <w:hideMark/>
          </w:tcPr>
          <w:p w:rsidR="00E2507D" w:rsidRPr="006213EE" w:rsidP="00E2507D">
            <w:pPr>
              <w:spacing w:after="0"/>
              <w:jc w:val="center"/>
              <w:rPr>
                <w:rFonts w:cs="Arial"/>
                <w:bCs/>
              </w:rPr>
            </w:pPr>
            <w:r w:rsidRPr="006213EE">
              <w:rPr>
                <w:rFonts w:cs="Arial"/>
              </w:rPr>
              <w:t>-6.973</w:t>
            </w:r>
          </w:p>
        </w:tc>
        <w:tc>
          <w:tcPr>
            <w:tcW w:w="2232" w:type="dxa"/>
            <w:tcBorders>
              <w:top w:val="single" w:sz="4" w:space="0" w:color="auto"/>
              <w:left w:val="nil"/>
              <w:bottom w:val="single" w:sz="4" w:space="0" w:color="auto"/>
              <w:right w:val="single" w:sz="4" w:space="0" w:color="auto"/>
            </w:tcBorders>
            <w:shd w:val="clear" w:color="auto" w:fill="auto"/>
            <w:vAlign w:val="center"/>
            <w:hideMark/>
          </w:tcPr>
          <w:p w:rsidR="00E2507D" w:rsidRPr="006213EE" w:rsidP="00E2507D">
            <w:pPr>
              <w:spacing w:after="0"/>
              <w:jc w:val="center"/>
              <w:rPr>
                <w:rFonts w:cs="Arial"/>
                <w:bCs/>
              </w:rPr>
            </w:pPr>
            <w:r w:rsidRPr="006213EE">
              <w:rPr>
                <w:rFonts w:cs="Arial"/>
              </w:rPr>
              <w:t>12.947</w:t>
            </w:r>
          </w:p>
        </w:tc>
      </w:tr>
    </w:tbl>
    <w:p w:rsidR="00E2507D" w:rsidRPr="006213EE" w:rsidP="00E2507D">
      <w:pPr>
        <w:spacing w:after="0"/>
        <w:rPr>
          <w:rFonts w:cs="Arial"/>
        </w:rPr>
      </w:pPr>
      <w:r w:rsidRPr="006213EE">
        <w:rPr>
          <w:rFonts w:cs="Arial"/>
        </w:rPr>
        <w:t>** The School Reserves are ring-fenced to schools and are used at schools' discretion.</w:t>
      </w:r>
    </w:p>
    <w:p w:rsidR="00E2507D" w:rsidRPr="006213EE" w:rsidP="00E2507D">
      <w:pPr>
        <w:spacing w:after="0"/>
        <w:rPr>
          <w:rFonts w:cs="Arial"/>
          <w:b/>
          <w:bCs/>
        </w:rPr>
      </w:pPr>
    </w:p>
    <w:p w:rsidR="00E2507D" w:rsidP="00E2507D">
      <w:pPr>
        <w:spacing w:after="0"/>
        <w:rPr>
          <w:rFonts w:cs="Arial"/>
        </w:rPr>
      </w:pPr>
      <w:r w:rsidRPr="006213EE">
        <w:rPr>
          <w:rFonts w:cs="Arial"/>
        </w:rPr>
        <w:t>Under the Education Reform Act, schools are given most of their budgets to directly control. If a school does not spend its entire budget, it is held as a reserve for them to use in the future. These reserves cannot be used for any other purpose.</w:t>
      </w:r>
    </w:p>
    <w:p w:rsidR="00E2507D" w:rsidP="00E2507D">
      <w:pPr>
        <w:spacing w:after="0"/>
        <w:rPr>
          <w:rFonts w:cs="Arial"/>
        </w:rPr>
      </w:pPr>
    </w:p>
    <w:p w:rsidR="00E2507D" w:rsidP="00E2507D">
      <w:pPr>
        <w:spacing w:after="0"/>
        <w:rPr>
          <w:rFonts w:cs="Arial"/>
        </w:rPr>
      </w:pPr>
    </w:p>
    <w:p w:rsidR="00E2507D" w:rsidP="00E2507D">
      <w:pPr>
        <w:spacing w:after="0"/>
        <w:rPr>
          <w:rFonts w:cs="Arial"/>
        </w:rPr>
      </w:pPr>
    </w:p>
    <w:p w:rsidR="00E2507D" w:rsidP="00E2507D">
      <w:pPr>
        <w:spacing w:after="0"/>
        <w:rPr>
          <w:rFonts w:cs="Arial"/>
        </w:rPr>
      </w:pPr>
    </w:p>
    <w:p w:rsidR="00E2507D" w:rsidP="00E2507D">
      <w:pPr>
        <w:spacing w:after="0"/>
        <w:rPr>
          <w:rFonts w:cs="Arial"/>
        </w:rPr>
      </w:pPr>
    </w:p>
    <w:p w:rsidR="00E2507D" w:rsidP="00E2507D">
      <w:pPr>
        <w:spacing w:after="0"/>
        <w:rPr>
          <w:rFonts w:cs="Arial"/>
        </w:rPr>
      </w:pPr>
    </w:p>
    <w:p w:rsidR="00E2507D" w:rsidP="00E2507D">
      <w:pPr>
        <w:spacing w:after="0"/>
        <w:rPr>
          <w:rFonts w:cs="Arial"/>
        </w:rPr>
      </w:pPr>
    </w:p>
    <w:p w:rsidR="00E2507D" w:rsidP="00E2507D">
      <w:pPr>
        <w:spacing w:after="0"/>
        <w:rPr>
          <w:rFonts w:cs="Arial"/>
        </w:rPr>
      </w:pPr>
    </w:p>
    <w:p w:rsidR="00E2507D" w:rsidP="00E2507D">
      <w:pPr>
        <w:spacing w:after="0"/>
        <w:rPr>
          <w:rFonts w:cs="Arial"/>
        </w:rPr>
      </w:pPr>
    </w:p>
    <w:p w:rsidR="00E2507D" w:rsidP="00E2507D">
      <w:pPr>
        <w:spacing w:after="0"/>
        <w:rPr>
          <w:rFonts w:cs="Arial"/>
        </w:rPr>
      </w:pPr>
    </w:p>
    <w:p w:rsidR="00E2507D" w:rsidP="00E2507D">
      <w:pPr>
        <w:spacing w:after="0"/>
        <w:rPr>
          <w:rFonts w:cs="Arial"/>
        </w:rPr>
      </w:pPr>
    </w:p>
    <w:p w:rsidR="00E2507D" w:rsidP="00E2507D">
      <w:pPr>
        <w:spacing w:after="0"/>
        <w:rPr>
          <w:rFonts w:cs="Arial"/>
        </w:rPr>
      </w:pPr>
    </w:p>
    <w:p w:rsidR="00E2507D" w:rsidP="00E2507D">
      <w:pPr>
        <w:spacing w:after="0"/>
        <w:rPr>
          <w:rFonts w:cs="Arial"/>
        </w:rPr>
      </w:pPr>
    </w:p>
    <w:p w:rsidR="00E2507D" w:rsidP="00E2507D">
      <w:pPr>
        <w:spacing w:after="0"/>
        <w:rPr>
          <w:rFonts w:cs="Arial"/>
        </w:rPr>
      </w:pPr>
    </w:p>
    <w:p w:rsidR="00E2507D" w:rsidP="00E2507D">
      <w:pPr>
        <w:spacing w:after="0"/>
        <w:rPr>
          <w:rFonts w:cs="Arial"/>
        </w:rPr>
      </w:pPr>
    </w:p>
    <w:p w:rsidR="00E2507D" w:rsidP="00E2507D">
      <w:pPr>
        <w:spacing w:after="0"/>
        <w:rPr>
          <w:rFonts w:cs="Arial"/>
        </w:rPr>
      </w:pPr>
    </w:p>
    <w:p w:rsidR="00E2507D" w:rsidP="00E2507D">
      <w:pPr>
        <w:spacing w:after="0"/>
        <w:rPr>
          <w:rFonts w:cs="Arial"/>
        </w:rPr>
      </w:pPr>
    </w:p>
    <w:p w:rsidR="00E2507D" w:rsidP="00E2507D">
      <w:pPr>
        <w:spacing w:after="0"/>
        <w:rPr>
          <w:rFonts w:cs="Arial"/>
        </w:rPr>
      </w:pPr>
    </w:p>
    <w:p w:rsidR="00E2507D" w:rsidP="00E2507D">
      <w:pPr>
        <w:spacing w:after="0"/>
        <w:rPr>
          <w:rFonts w:cs="Arial"/>
        </w:rPr>
      </w:pPr>
    </w:p>
    <w:p w:rsidR="00E2507D" w:rsidP="00E2507D">
      <w:pPr>
        <w:spacing w:after="0"/>
        <w:rPr>
          <w:rFonts w:cs="Arial"/>
        </w:rPr>
      </w:pPr>
    </w:p>
    <w:p w:rsidR="00E2507D" w:rsidP="00E2507D">
      <w:pPr>
        <w:spacing w:after="0"/>
        <w:rPr>
          <w:rFonts w:cs="Arial"/>
        </w:rPr>
      </w:pPr>
    </w:p>
    <w:p w:rsidR="00E2507D" w:rsidP="00E2507D">
      <w:pPr>
        <w:spacing w:after="0"/>
        <w:rPr>
          <w:rFonts w:cs="Arial"/>
        </w:rPr>
      </w:pPr>
    </w:p>
    <w:p w:rsidR="00E2507D" w:rsidP="00E2507D">
      <w:pPr>
        <w:spacing w:after="0"/>
        <w:rPr>
          <w:rFonts w:cs="Arial"/>
        </w:rPr>
      </w:pPr>
    </w:p>
    <w:p w:rsidR="00E2507D" w:rsidP="00E2507D">
      <w:pPr>
        <w:spacing w:after="0"/>
        <w:rPr>
          <w:rFonts w:cs="Arial"/>
        </w:rPr>
      </w:pPr>
    </w:p>
    <w:p w:rsidR="00E2507D" w:rsidP="00E2507D">
      <w:pPr>
        <w:spacing w:after="0"/>
        <w:rPr>
          <w:rFonts w:cs="Arial"/>
        </w:rPr>
      </w:pPr>
    </w:p>
    <w:p w:rsidR="00E2507D" w:rsidP="00E2507D">
      <w:pPr>
        <w:spacing w:after="0"/>
        <w:rPr>
          <w:rFonts w:cs="Arial"/>
        </w:rPr>
      </w:pPr>
    </w:p>
    <w:p w:rsidR="00E2507D" w:rsidP="00E2507D">
      <w:pPr>
        <w:spacing w:after="0"/>
        <w:rPr>
          <w:rFonts w:cs="Arial"/>
        </w:rPr>
      </w:pPr>
    </w:p>
    <w:p w:rsidR="00E2507D" w:rsidP="00E2507D">
      <w:pPr>
        <w:spacing w:after="0"/>
        <w:rPr>
          <w:rFonts w:cs="Arial"/>
        </w:rPr>
      </w:pPr>
    </w:p>
    <w:p w:rsidR="00E2507D" w:rsidP="00E2507D">
      <w:pPr>
        <w:spacing w:after="0"/>
        <w:rPr>
          <w:rFonts w:cs="Arial"/>
        </w:rPr>
      </w:pPr>
    </w:p>
    <w:p w:rsidR="00E2507D" w:rsidP="00E2507D">
      <w:pPr>
        <w:spacing w:after="0"/>
        <w:rPr>
          <w:rFonts w:cs="Arial"/>
        </w:rPr>
      </w:pPr>
    </w:p>
    <w:p w:rsidR="00E2507D" w:rsidP="00E2507D">
      <w:pPr>
        <w:spacing w:after="0"/>
        <w:rPr>
          <w:rFonts w:cs="Arial"/>
        </w:rPr>
      </w:pPr>
    </w:p>
    <w:p w:rsidR="00E2507D" w:rsidP="00E2507D">
      <w:pPr>
        <w:spacing w:after="0"/>
        <w:rPr>
          <w:rFonts w:cs="Arial"/>
        </w:rPr>
      </w:pPr>
    </w:p>
    <w:p w:rsidR="00E2507D" w:rsidP="00E2507D">
      <w:pPr>
        <w:spacing w:after="0"/>
        <w:rPr>
          <w:rFonts w:cs="Arial"/>
        </w:rPr>
      </w:pPr>
    </w:p>
    <w:p w:rsidR="00E2507D" w:rsidP="00E2507D">
      <w:pPr>
        <w:spacing w:after="0"/>
        <w:rPr>
          <w:rFonts w:cs="Arial"/>
        </w:rPr>
      </w:pPr>
    </w:p>
    <w:p w:rsidR="00E2507D" w:rsidP="00E2507D">
      <w:pPr>
        <w:spacing w:after="0"/>
        <w:rPr>
          <w:rFonts w:cs="Arial"/>
        </w:rPr>
      </w:pPr>
    </w:p>
    <w:p w:rsidR="00E2507D" w:rsidP="00E2507D">
      <w:pPr>
        <w:spacing w:after="0"/>
        <w:rPr>
          <w:rFonts w:cs="Arial"/>
        </w:rPr>
      </w:pPr>
    </w:p>
    <w:p w:rsidR="00E2507D" w:rsidP="00E2507D">
      <w:pPr>
        <w:spacing w:after="0"/>
        <w:rPr>
          <w:rFonts w:cs="Arial"/>
        </w:rPr>
      </w:pPr>
    </w:p>
    <w:p w:rsidR="00E2507D" w:rsidP="00E2507D">
      <w:pPr>
        <w:spacing w:after="0"/>
        <w:rPr>
          <w:rFonts w:cs="Arial"/>
        </w:rPr>
      </w:pPr>
    </w:p>
    <w:p w:rsidR="00E2507D" w:rsidP="00E2507D">
      <w:pPr>
        <w:spacing w:after="0"/>
        <w:rPr>
          <w:rFonts w:cs="Arial"/>
          <w:b/>
          <w:bCs/>
        </w:rPr>
      </w:pPr>
      <w:r w:rsidRPr="00F04AD9">
        <w:rPr>
          <w:rFonts w:cs="Arial"/>
          <w:b/>
          <w:bCs/>
        </w:rPr>
        <w:t>Section C – The 2019/20 Capital Delivery Programme</w:t>
      </w:r>
    </w:p>
    <w:p w:rsidR="00E2507D" w:rsidP="00E2507D">
      <w:pPr>
        <w:spacing w:after="0"/>
        <w:rPr>
          <w:rFonts w:cs="Arial"/>
          <w:b/>
          <w:bCs/>
        </w:rPr>
      </w:pPr>
    </w:p>
    <w:p w:rsidR="00E2507D" w:rsidRPr="006230B5" w:rsidP="00E2507D">
      <w:pPr>
        <w:spacing w:after="0"/>
        <w:rPr>
          <w:b/>
        </w:rPr>
      </w:pPr>
      <w:r w:rsidRPr="006230B5">
        <w:rPr>
          <w:b/>
        </w:rPr>
        <w:t>Capital Programme Outturn 20</w:t>
      </w:r>
      <w:r>
        <w:rPr>
          <w:b/>
        </w:rPr>
        <w:t>19/20</w:t>
      </w:r>
      <w:r w:rsidRPr="006230B5">
        <w:rPr>
          <w:b/>
        </w:rPr>
        <w:t xml:space="preserve"> Summary Table</w:t>
      </w:r>
    </w:p>
    <w:p w:rsidR="00E2507D" w:rsidP="00E2507D">
      <w:pPr>
        <w:spacing w:after="0"/>
        <w:rPr>
          <w:rFonts w:eastAsia="Times New Roman" w:cs="Arial"/>
          <w:sz w:val="32"/>
          <w:szCs w:val="32"/>
          <w:lang w:eastAsia="en-GB"/>
        </w:rPr>
      </w:pPr>
    </w:p>
    <w:p w:rsidR="00E2507D" w:rsidP="00E2507D">
      <w:pPr>
        <w:spacing w:after="0"/>
        <w:rPr>
          <w:rFonts w:cs="Arial"/>
        </w:rPr>
      </w:pPr>
      <w:r w:rsidRPr="00860F80">
        <w:rPr>
          <w:rFonts w:cs="Arial"/>
        </w:rPr>
        <w:t xml:space="preserve">The capital </w:t>
      </w:r>
      <w:r>
        <w:rPr>
          <w:rFonts w:cs="Arial"/>
        </w:rPr>
        <w:t>delivery programme agreed in</w:t>
      </w:r>
      <w:r w:rsidRPr="00860F80">
        <w:rPr>
          <w:rFonts w:cs="Arial"/>
        </w:rPr>
        <w:t xml:space="preserve"> </w:t>
      </w:r>
      <w:r>
        <w:rPr>
          <w:rFonts w:cs="Arial"/>
        </w:rPr>
        <w:t xml:space="preserve">February 2019 </w:t>
      </w:r>
      <w:r w:rsidRPr="00860F80">
        <w:rPr>
          <w:rFonts w:cs="Arial"/>
        </w:rPr>
        <w:t>by</w:t>
      </w:r>
      <w:r>
        <w:rPr>
          <w:rFonts w:cs="Arial"/>
        </w:rPr>
        <w:t xml:space="preserve"> Council</w:t>
      </w:r>
      <w:r w:rsidRPr="00860F80">
        <w:rPr>
          <w:rFonts w:cs="Arial"/>
        </w:rPr>
        <w:t xml:space="preserve"> was a programme of £</w:t>
      </w:r>
      <w:r>
        <w:rPr>
          <w:rFonts w:cs="Arial"/>
        </w:rPr>
        <w:t xml:space="preserve">124.886m. </w:t>
      </w:r>
      <w:r w:rsidRPr="00860F80">
        <w:rPr>
          <w:rFonts w:cs="Arial"/>
        </w:rPr>
        <w:t>In addition to this</w:t>
      </w:r>
      <w:r>
        <w:rPr>
          <w:rFonts w:cs="Arial"/>
        </w:rPr>
        <w:t>,</w:t>
      </w:r>
      <w:r w:rsidRPr="00860F80">
        <w:rPr>
          <w:rFonts w:cs="Arial"/>
        </w:rPr>
        <w:t xml:space="preserve"> Cabinet have </w:t>
      </w:r>
      <w:r>
        <w:rPr>
          <w:rFonts w:cs="Arial"/>
        </w:rPr>
        <w:t xml:space="preserve">since </w:t>
      </w:r>
      <w:r w:rsidRPr="00860F80">
        <w:rPr>
          <w:rFonts w:cs="Arial"/>
        </w:rPr>
        <w:t>approved budget changes and reprofiling of £</w:t>
      </w:r>
      <w:r>
        <w:rPr>
          <w:rFonts w:cs="Arial"/>
        </w:rPr>
        <w:t>29.310</w:t>
      </w:r>
      <w:r w:rsidRPr="00860F80">
        <w:rPr>
          <w:rFonts w:cs="Arial"/>
        </w:rPr>
        <w:t>m</w:t>
      </w:r>
      <w:r>
        <w:rPr>
          <w:rFonts w:cs="Arial"/>
        </w:rPr>
        <w:t xml:space="preserve"> during the year </w:t>
      </w:r>
      <w:r w:rsidRPr="00860F80">
        <w:rPr>
          <w:rFonts w:cs="Arial"/>
        </w:rPr>
        <w:t>leading to a final capital de</w:t>
      </w:r>
      <w:r>
        <w:rPr>
          <w:rFonts w:cs="Arial"/>
        </w:rPr>
        <w:t>livery programme for 2019/20</w:t>
      </w:r>
      <w:r w:rsidRPr="00860F80">
        <w:rPr>
          <w:rFonts w:cs="Arial"/>
        </w:rPr>
        <w:t xml:space="preserve"> of £</w:t>
      </w:r>
      <w:r>
        <w:rPr>
          <w:rFonts w:cs="Arial"/>
        </w:rPr>
        <w:t>154.196</w:t>
      </w:r>
      <w:r w:rsidRPr="00860F80">
        <w:rPr>
          <w:rFonts w:cs="Arial"/>
        </w:rPr>
        <w:t>m.</w:t>
      </w:r>
      <w:r>
        <w:rPr>
          <w:rFonts w:cs="Arial"/>
        </w:rPr>
        <w:t xml:space="preserve"> </w:t>
      </w:r>
    </w:p>
    <w:p w:rsidR="00E2507D" w:rsidP="00E2507D">
      <w:pPr>
        <w:spacing w:after="0"/>
        <w:rPr>
          <w:rFonts w:cs="Arial"/>
        </w:rPr>
      </w:pPr>
    </w:p>
    <w:p w:rsidR="00E2507D" w:rsidRPr="00735826" w:rsidP="00E2507D">
      <w:pPr>
        <w:spacing w:after="0"/>
        <w:rPr>
          <w:rFonts w:cs="Arial"/>
        </w:rPr>
      </w:pPr>
      <w:r w:rsidRPr="005E03D3">
        <w:rPr>
          <w:rFonts w:cs="Arial"/>
        </w:rPr>
        <w:t>Table 1 shows that of this delivery programme</w:t>
      </w:r>
      <w:r>
        <w:rPr>
          <w:rFonts w:cs="Arial"/>
        </w:rPr>
        <w:t>,</w:t>
      </w:r>
      <w:r w:rsidRPr="005E03D3">
        <w:rPr>
          <w:rFonts w:cs="Arial"/>
        </w:rPr>
        <w:t xml:space="preserve"> spend of £</w:t>
      </w:r>
      <w:r>
        <w:rPr>
          <w:rFonts w:cs="Arial"/>
        </w:rPr>
        <w:t xml:space="preserve">121.382m was achieved being 78.7% of the programme and a variance of </w:t>
      </w:r>
      <w:r w:rsidRPr="005E03D3">
        <w:rPr>
          <w:rFonts w:cs="Arial"/>
        </w:rPr>
        <w:t>£</w:t>
      </w:r>
      <w:r>
        <w:rPr>
          <w:rFonts w:cs="Arial"/>
        </w:rPr>
        <w:t>32.814m</w:t>
      </w:r>
      <w:r w:rsidRPr="005E03D3">
        <w:rPr>
          <w:rFonts w:cs="Arial"/>
        </w:rPr>
        <w:t>.</w:t>
      </w:r>
      <w:r>
        <w:rPr>
          <w:rFonts w:cs="Arial"/>
        </w:rPr>
        <w:t xml:space="preserve"> This was as a result of </w:t>
      </w:r>
      <w:r w:rsidRPr="00822405">
        <w:rPr>
          <w:rFonts w:cs="Arial"/>
        </w:rPr>
        <w:t>a challenging year for Capital delivery where work was delayed due to unforeseeable circumstances</w:t>
      </w:r>
      <w:r>
        <w:rPr>
          <w:rFonts w:cs="Arial"/>
        </w:rPr>
        <w:t xml:space="preserve"> including two major storms and the national Covid-19 emergenc</w:t>
      </w:r>
      <w:r w:rsidR="00552426">
        <w:rPr>
          <w:rFonts w:cs="Arial"/>
        </w:rPr>
        <w:t>y</w:t>
      </w:r>
      <w:r w:rsidRPr="00822405">
        <w:rPr>
          <w:rFonts w:cs="Arial"/>
        </w:rPr>
        <w:t>. Works that were not fully delivered during the year have now been re-profiled to be completed in future years.</w:t>
      </w:r>
    </w:p>
    <w:p w:rsidR="00E2507D" w:rsidP="00E2507D">
      <w:pPr>
        <w:spacing w:after="0"/>
        <w:rPr>
          <w:rFonts w:cs="Arial"/>
        </w:rPr>
      </w:pPr>
    </w:p>
    <w:p w:rsidR="00E2507D" w:rsidP="00E2507D">
      <w:pPr>
        <w:spacing w:after="0"/>
        <w:rPr>
          <w:rFonts w:cs="Arial"/>
        </w:rPr>
      </w:pPr>
      <w:r>
        <w:rPr>
          <w:rFonts w:cs="Arial"/>
        </w:rPr>
        <w:t xml:space="preserve">Through the year delivery has been achieved on projects which have increased and enhanced the county's assets as well as maintain the fabric and condition of our buildings.  Along with this, capital has been invested in projects that will deliver economic growth to Lancashire and its residents. </w:t>
      </w:r>
    </w:p>
    <w:p w:rsidR="00E2507D" w:rsidP="00E2507D">
      <w:pPr>
        <w:spacing w:after="0"/>
        <w:rPr>
          <w:rFonts w:cs="Arial"/>
        </w:rPr>
      </w:pPr>
    </w:p>
    <w:p w:rsidR="00E2507D" w:rsidP="00E2507D">
      <w:pPr>
        <w:rPr>
          <w:rFonts w:cs="Arial"/>
        </w:rPr>
      </w:pPr>
      <w:r w:rsidRPr="00735826">
        <w:rPr>
          <w:rFonts w:cs="Arial"/>
        </w:rPr>
        <w:t>The outturn position for capital by block is shown below</w:t>
      </w:r>
    </w:p>
    <w:p w:rsidR="00E2507D" w:rsidP="00E2507D">
      <w:pPr>
        <w:rPr>
          <w:rFonts w:cs="Arial"/>
        </w:rPr>
      </w:pPr>
      <w:r>
        <w:rPr>
          <w:rFonts w:cs="Arial"/>
        </w:rPr>
        <w:t>Table 1</w:t>
      </w:r>
    </w:p>
    <w:tbl>
      <w:tblPr>
        <w:tblW w:w="8420" w:type="dxa"/>
        <w:tblLook w:val="04A0"/>
      </w:tblPr>
      <w:tblGrid>
        <w:gridCol w:w="3080"/>
        <w:gridCol w:w="1780"/>
        <w:gridCol w:w="1780"/>
        <w:gridCol w:w="1780"/>
      </w:tblGrid>
      <w:tr w:rsidTr="00E2507D">
        <w:tblPrEx>
          <w:tblW w:w="8420" w:type="dxa"/>
          <w:tblLook w:val="04A0"/>
        </w:tblPrEx>
        <w:trPr>
          <w:trHeight w:val="520"/>
        </w:trPr>
        <w:tc>
          <w:tcPr>
            <w:tcW w:w="3080" w:type="dxa"/>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rsidR="00E2507D" w:rsidRPr="00EF06C0" w:rsidP="00E2507D">
            <w:pPr>
              <w:spacing w:after="0"/>
              <w:jc w:val="center"/>
              <w:rPr>
                <w:rFonts w:eastAsia="Times New Roman" w:cs="Arial"/>
                <w:b/>
                <w:bCs/>
                <w:sz w:val="20"/>
                <w:szCs w:val="20"/>
                <w:lang w:eastAsia="en-GB"/>
              </w:rPr>
            </w:pPr>
            <w:r w:rsidRPr="00EF06C0">
              <w:rPr>
                <w:rFonts w:eastAsia="Times New Roman" w:cs="Arial"/>
                <w:b/>
                <w:bCs/>
                <w:sz w:val="20"/>
                <w:szCs w:val="20"/>
                <w:lang w:eastAsia="en-GB"/>
              </w:rPr>
              <w:t>Service Area</w:t>
            </w:r>
          </w:p>
        </w:tc>
        <w:tc>
          <w:tcPr>
            <w:tcW w:w="1780" w:type="dxa"/>
            <w:tcBorders>
              <w:top w:val="single" w:sz="4" w:space="0" w:color="auto"/>
              <w:left w:val="nil"/>
              <w:bottom w:val="single" w:sz="4" w:space="0" w:color="auto"/>
              <w:right w:val="single" w:sz="4" w:space="0" w:color="auto"/>
            </w:tcBorders>
            <w:shd w:val="clear" w:color="000000" w:fill="D0CECE"/>
            <w:vAlign w:val="center"/>
            <w:hideMark/>
          </w:tcPr>
          <w:p w:rsidR="00E2507D" w:rsidRPr="00EF06C0" w:rsidP="00E2507D">
            <w:pPr>
              <w:spacing w:after="0"/>
              <w:jc w:val="center"/>
              <w:rPr>
                <w:rFonts w:eastAsia="Times New Roman" w:cs="Arial"/>
                <w:b/>
                <w:bCs/>
                <w:sz w:val="20"/>
                <w:szCs w:val="20"/>
                <w:lang w:eastAsia="en-GB"/>
              </w:rPr>
            </w:pPr>
            <w:r w:rsidRPr="00EF06C0">
              <w:rPr>
                <w:rFonts w:eastAsia="Times New Roman" w:cs="Arial"/>
                <w:b/>
                <w:bCs/>
                <w:sz w:val="20"/>
                <w:szCs w:val="20"/>
                <w:lang w:eastAsia="en-GB"/>
              </w:rPr>
              <w:t>Revised Delivery Plan</w:t>
            </w:r>
          </w:p>
        </w:tc>
        <w:tc>
          <w:tcPr>
            <w:tcW w:w="1780" w:type="dxa"/>
            <w:tcBorders>
              <w:top w:val="single" w:sz="4" w:space="0" w:color="auto"/>
              <w:left w:val="nil"/>
              <w:bottom w:val="single" w:sz="4" w:space="0" w:color="auto"/>
              <w:right w:val="single" w:sz="4" w:space="0" w:color="auto"/>
            </w:tcBorders>
            <w:shd w:val="clear" w:color="000000" w:fill="D0CECE"/>
            <w:vAlign w:val="center"/>
            <w:hideMark/>
          </w:tcPr>
          <w:p w:rsidR="00E2507D" w:rsidRPr="00EF06C0" w:rsidP="00E2507D">
            <w:pPr>
              <w:spacing w:after="0"/>
              <w:jc w:val="center"/>
              <w:rPr>
                <w:rFonts w:eastAsia="Times New Roman" w:cs="Arial"/>
                <w:b/>
                <w:bCs/>
                <w:sz w:val="20"/>
                <w:szCs w:val="20"/>
                <w:lang w:eastAsia="en-GB"/>
              </w:rPr>
            </w:pPr>
            <w:r w:rsidRPr="00EF06C0">
              <w:rPr>
                <w:rFonts w:eastAsia="Times New Roman" w:cs="Arial"/>
                <w:b/>
                <w:bCs/>
                <w:sz w:val="20"/>
                <w:szCs w:val="20"/>
                <w:lang w:eastAsia="en-GB"/>
              </w:rPr>
              <w:t>Actual Spend</w:t>
            </w:r>
          </w:p>
        </w:tc>
        <w:tc>
          <w:tcPr>
            <w:tcW w:w="1780" w:type="dxa"/>
            <w:tcBorders>
              <w:top w:val="single" w:sz="4" w:space="0" w:color="auto"/>
              <w:left w:val="nil"/>
              <w:bottom w:val="single" w:sz="4" w:space="0" w:color="auto"/>
              <w:right w:val="single" w:sz="4" w:space="0" w:color="auto"/>
            </w:tcBorders>
            <w:shd w:val="clear" w:color="000000" w:fill="D0CECE"/>
            <w:vAlign w:val="center"/>
            <w:hideMark/>
          </w:tcPr>
          <w:p w:rsidR="00E2507D" w:rsidRPr="00EF06C0" w:rsidP="00E2507D">
            <w:pPr>
              <w:spacing w:after="0"/>
              <w:jc w:val="center"/>
              <w:rPr>
                <w:rFonts w:eastAsia="Times New Roman" w:cs="Arial"/>
                <w:b/>
                <w:bCs/>
                <w:sz w:val="20"/>
                <w:szCs w:val="20"/>
                <w:lang w:eastAsia="en-GB"/>
              </w:rPr>
            </w:pPr>
            <w:r w:rsidRPr="00EF06C0">
              <w:rPr>
                <w:rFonts w:eastAsia="Times New Roman" w:cs="Arial"/>
                <w:b/>
                <w:bCs/>
                <w:sz w:val="20"/>
                <w:szCs w:val="20"/>
                <w:lang w:eastAsia="en-GB"/>
              </w:rPr>
              <w:t>Variance</w:t>
            </w:r>
          </w:p>
        </w:tc>
      </w:tr>
      <w:tr w:rsidTr="00E2507D">
        <w:tblPrEx>
          <w:tblW w:w="8420" w:type="dxa"/>
          <w:tblLook w:val="04A0"/>
        </w:tblPrEx>
        <w:trPr>
          <w:trHeight w:val="290"/>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E2507D" w:rsidRPr="00EF06C0" w:rsidP="00E2507D">
            <w:pPr>
              <w:spacing w:after="0"/>
              <w:rPr>
                <w:rFonts w:eastAsia="Times New Roman" w:cs="Arial"/>
                <w:b/>
                <w:bCs/>
                <w:sz w:val="20"/>
                <w:szCs w:val="20"/>
                <w:lang w:eastAsia="en-GB"/>
              </w:rPr>
            </w:pPr>
          </w:p>
        </w:tc>
        <w:tc>
          <w:tcPr>
            <w:tcW w:w="1780" w:type="dxa"/>
            <w:tcBorders>
              <w:top w:val="nil"/>
              <w:left w:val="nil"/>
              <w:bottom w:val="single" w:sz="4" w:space="0" w:color="auto"/>
              <w:right w:val="single" w:sz="4" w:space="0" w:color="auto"/>
            </w:tcBorders>
            <w:shd w:val="clear" w:color="000000" w:fill="D0CECE"/>
            <w:vAlign w:val="center"/>
            <w:hideMark/>
          </w:tcPr>
          <w:p w:rsidR="00E2507D" w:rsidRPr="00EF06C0" w:rsidP="00E2507D">
            <w:pPr>
              <w:spacing w:after="0"/>
              <w:jc w:val="center"/>
              <w:rPr>
                <w:rFonts w:eastAsia="Times New Roman" w:cs="Arial"/>
                <w:b/>
                <w:bCs/>
                <w:sz w:val="20"/>
                <w:szCs w:val="20"/>
                <w:lang w:eastAsia="en-GB"/>
              </w:rPr>
            </w:pPr>
            <w:r w:rsidRPr="00EF06C0">
              <w:rPr>
                <w:rFonts w:eastAsia="Times New Roman" w:cs="Arial"/>
                <w:b/>
                <w:bCs/>
                <w:sz w:val="20"/>
                <w:szCs w:val="20"/>
                <w:lang w:eastAsia="en-GB"/>
              </w:rPr>
              <w:t>£m</w:t>
            </w:r>
          </w:p>
        </w:tc>
        <w:tc>
          <w:tcPr>
            <w:tcW w:w="1780" w:type="dxa"/>
            <w:tcBorders>
              <w:top w:val="nil"/>
              <w:left w:val="nil"/>
              <w:bottom w:val="single" w:sz="4" w:space="0" w:color="auto"/>
              <w:right w:val="single" w:sz="4" w:space="0" w:color="auto"/>
            </w:tcBorders>
            <w:shd w:val="clear" w:color="000000" w:fill="D0CECE"/>
            <w:vAlign w:val="center"/>
            <w:hideMark/>
          </w:tcPr>
          <w:p w:rsidR="00E2507D" w:rsidRPr="00EF06C0" w:rsidP="00E2507D">
            <w:pPr>
              <w:spacing w:after="0"/>
              <w:jc w:val="center"/>
              <w:rPr>
                <w:rFonts w:eastAsia="Times New Roman" w:cs="Arial"/>
                <w:b/>
                <w:bCs/>
                <w:sz w:val="20"/>
                <w:szCs w:val="20"/>
                <w:lang w:eastAsia="en-GB"/>
              </w:rPr>
            </w:pPr>
            <w:r w:rsidRPr="00EF06C0">
              <w:rPr>
                <w:rFonts w:eastAsia="Times New Roman" w:cs="Arial"/>
                <w:b/>
                <w:bCs/>
                <w:sz w:val="20"/>
                <w:szCs w:val="20"/>
                <w:lang w:eastAsia="en-GB"/>
              </w:rPr>
              <w:t>£m</w:t>
            </w:r>
          </w:p>
        </w:tc>
        <w:tc>
          <w:tcPr>
            <w:tcW w:w="1780" w:type="dxa"/>
            <w:tcBorders>
              <w:top w:val="nil"/>
              <w:left w:val="nil"/>
              <w:bottom w:val="single" w:sz="4" w:space="0" w:color="auto"/>
              <w:right w:val="single" w:sz="4" w:space="0" w:color="auto"/>
            </w:tcBorders>
            <w:shd w:val="clear" w:color="000000" w:fill="D0CECE"/>
            <w:vAlign w:val="center"/>
            <w:hideMark/>
          </w:tcPr>
          <w:p w:rsidR="00E2507D" w:rsidRPr="00EF06C0" w:rsidP="00E2507D">
            <w:pPr>
              <w:spacing w:after="0"/>
              <w:jc w:val="center"/>
              <w:rPr>
                <w:rFonts w:eastAsia="Times New Roman" w:cs="Arial"/>
                <w:b/>
                <w:bCs/>
                <w:sz w:val="20"/>
                <w:szCs w:val="20"/>
                <w:lang w:eastAsia="en-GB"/>
              </w:rPr>
            </w:pPr>
            <w:r w:rsidRPr="00EF06C0">
              <w:rPr>
                <w:rFonts w:eastAsia="Times New Roman" w:cs="Arial"/>
                <w:b/>
                <w:bCs/>
                <w:sz w:val="20"/>
                <w:szCs w:val="20"/>
                <w:lang w:eastAsia="en-GB"/>
              </w:rPr>
              <w:t>£m</w:t>
            </w:r>
          </w:p>
        </w:tc>
      </w:tr>
      <w:tr w:rsidTr="00E2507D">
        <w:tblPrEx>
          <w:tblW w:w="8420" w:type="dxa"/>
          <w:tblLook w:val="04A0"/>
        </w:tblPrEx>
        <w:trPr>
          <w:trHeight w:val="290"/>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E2507D" w:rsidRPr="00EF06C0" w:rsidP="00E2507D">
            <w:pPr>
              <w:spacing w:after="0"/>
              <w:rPr>
                <w:rFonts w:eastAsia="Times New Roman" w:cs="Arial"/>
                <w:sz w:val="20"/>
                <w:szCs w:val="20"/>
                <w:lang w:eastAsia="en-GB"/>
              </w:rPr>
            </w:pPr>
            <w:r w:rsidRPr="00EF06C0">
              <w:rPr>
                <w:rFonts w:eastAsia="Times New Roman" w:cs="Arial"/>
                <w:sz w:val="20"/>
                <w:szCs w:val="20"/>
                <w:lang w:eastAsia="en-GB"/>
              </w:rPr>
              <w:t>Schools (excluding DFC)</w:t>
            </w:r>
          </w:p>
        </w:tc>
        <w:tc>
          <w:tcPr>
            <w:tcW w:w="1780" w:type="dxa"/>
            <w:tcBorders>
              <w:top w:val="nil"/>
              <w:left w:val="nil"/>
              <w:bottom w:val="single" w:sz="4" w:space="0" w:color="auto"/>
              <w:right w:val="single" w:sz="4" w:space="0" w:color="auto"/>
            </w:tcBorders>
            <w:shd w:val="clear" w:color="auto" w:fill="auto"/>
            <w:vAlign w:val="center"/>
            <w:hideMark/>
          </w:tcPr>
          <w:p w:rsidR="00E2507D" w:rsidRPr="00EF06C0" w:rsidP="00E2507D">
            <w:pPr>
              <w:spacing w:after="0"/>
              <w:jc w:val="right"/>
              <w:rPr>
                <w:rFonts w:eastAsia="Times New Roman" w:cs="Arial"/>
                <w:sz w:val="20"/>
                <w:szCs w:val="20"/>
                <w:lang w:eastAsia="en-GB"/>
              </w:rPr>
            </w:pPr>
            <w:r w:rsidRPr="00EF06C0">
              <w:rPr>
                <w:rFonts w:eastAsia="Times New Roman" w:cs="Arial"/>
                <w:sz w:val="20"/>
                <w:szCs w:val="20"/>
                <w:lang w:eastAsia="en-GB"/>
              </w:rPr>
              <w:t>23.553</w:t>
            </w:r>
          </w:p>
        </w:tc>
        <w:tc>
          <w:tcPr>
            <w:tcW w:w="1780" w:type="dxa"/>
            <w:tcBorders>
              <w:top w:val="nil"/>
              <w:left w:val="nil"/>
              <w:bottom w:val="single" w:sz="4" w:space="0" w:color="auto"/>
              <w:right w:val="single" w:sz="4" w:space="0" w:color="auto"/>
            </w:tcBorders>
            <w:shd w:val="clear" w:color="auto" w:fill="auto"/>
            <w:vAlign w:val="center"/>
            <w:hideMark/>
          </w:tcPr>
          <w:p w:rsidR="00E2507D" w:rsidRPr="00EF06C0" w:rsidP="00E2507D">
            <w:pPr>
              <w:spacing w:after="0"/>
              <w:jc w:val="right"/>
              <w:rPr>
                <w:rFonts w:eastAsia="Times New Roman" w:cs="Arial"/>
                <w:sz w:val="20"/>
                <w:szCs w:val="20"/>
                <w:lang w:eastAsia="en-GB"/>
              </w:rPr>
            </w:pPr>
            <w:r w:rsidRPr="00EF06C0">
              <w:rPr>
                <w:rFonts w:eastAsia="Times New Roman" w:cs="Arial"/>
                <w:sz w:val="20"/>
                <w:szCs w:val="20"/>
                <w:lang w:eastAsia="en-GB"/>
              </w:rPr>
              <w:t>20.120</w:t>
            </w:r>
          </w:p>
        </w:tc>
        <w:tc>
          <w:tcPr>
            <w:tcW w:w="1780" w:type="dxa"/>
            <w:tcBorders>
              <w:top w:val="nil"/>
              <w:left w:val="nil"/>
              <w:bottom w:val="single" w:sz="4" w:space="0" w:color="auto"/>
              <w:right w:val="single" w:sz="4" w:space="0" w:color="auto"/>
            </w:tcBorders>
            <w:shd w:val="clear" w:color="auto" w:fill="auto"/>
            <w:vAlign w:val="center"/>
            <w:hideMark/>
          </w:tcPr>
          <w:p w:rsidR="00E2507D" w:rsidRPr="00EF06C0" w:rsidP="00E2507D">
            <w:pPr>
              <w:spacing w:after="0"/>
              <w:jc w:val="right"/>
              <w:rPr>
                <w:rFonts w:eastAsia="Times New Roman" w:cs="Arial"/>
                <w:sz w:val="20"/>
                <w:szCs w:val="20"/>
                <w:lang w:eastAsia="en-GB"/>
              </w:rPr>
            </w:pPr>
            <w:r w:rsidRPr="00EF06C0">
              <w:rPr>
                <w:rFonts w:eastAsia="Times New Roman" w:cs="Arial"/>
                <w:sz w:val="20"/>
                <w:szCs w:val="20"/>
                <w:lang w:eastAsia="en-GB"/>
              </w:rPr>
              <w:t>-3.433</w:t>
            </w:r>
          </w:p>
        </w:tc>
      </w:tr>
      <w:tr w:rsidTr="00E2507D">
        <w:tblPrEx>
          <w:tblW w:w="8420" w:type="dxa"/>
          <w:tblLook w:val="04A0"/>
        </w:tblPrEx>
        <w:trPr>
          <w:trHeight w:val="290"/>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E2507D" w:rsidRPr="00EF06C0" w:rsidP="00E2507D">
            <w:pPr>
              <w:spacing w:after="0"/>
              <w:rPr>
                <w:rFonts w:eastAsia="Times New Roman" w:cs="Arial"/>
                <w:sz w:val="20"/>
                <w:szCs w:val="20"/>
                <w:lang w:eastAsia="en-GB"/>
              </w:rPr>
            </w:pPr>
            <w:r w:rsidRPr="00EF06C0">
              <w:rPr>
                <w:rFonts w:eastAsia="Times New Roman" w:cs="Arial"/>
                <w:sz w:val="20"/>
                <w:szCs w:val="20"/>
                <w:lang w:eastAsia="en-GB"/>
              </w:rPr>
              <w:t>Schools (DFC)</w:t>
            </w:r>
          </w:p>
        </w:tc>
        <w:tc>
          <w:tcPr>
            <w:tcW w:w="1780" w:type="dxa"/>
            <w:tcBorders>
              <w:top w:val="nil"/>
              <w:left w:val="nil"/>
              <w:bottom w:val="single" w:sz="4" w:space="0" w:color="auto"/>
              <w:right w:val="single" w:sz="4" w:space="0" w:color="auto"/>
            </w:tcBorders>
            <w:shd w:val="clear" w:color="auto" w:fill="auto"/>
            <w:vAlign w:val="center"/>
            <w:hideMark/>
          </w:tcPr>
          <w:p w:rsidR="00E2507D" w:rsidRPr="00EF06C0" w:rsidP="00E2507D">
            <w:pPr>
              <w:spacing w:after="0"/>
              <w:jc w:val="right"/>
              <w:rPr>
                <w:rFonts w:eastAsia="Times New Roman" w:cs="Arial"/>
                <w:sz w:val="20"/>
                <w:szCs w:val="20"/>
                <w:lang w:eastAsia="en-GB"/>
              </w:rPr>
            </w:pPr>
            <w:r w:rsidRPr="00EF06C0">
              <w:rPr>
                <w:rFonts w:eastAsia="Times New Roman" w:cs="Arial"/>
                <w:sz w:val="20"/>
                <w:szCs w:val="20"/>
                <w:lang w:eastAsia="en-GB"/>
              </w:rPr>
              <w:t>2.500</w:t>
            </w:r>
          </w:p>
        </w:tc>
        <w:tc>
          <w:tcPr>
            <w:tcW w:w="1780" w:type="dxa"/>
            <w:tcBorders>
              <w:top w:val="nil"/>
              <w:left w:val="nil"/>
              <w:bottom w:val="single" w:sz="4" w:space="0" w:color="auto"/>
              <w:right w:val="single" w:sz="4" w:space="0" w:color="auto"/>
            </w:tcBorders>
            <w:shd w:val="clear" w:color="auto" w:fill="auto"/>
            <w:vAlign w:val="center"/>
            <w:hideMark/>
          </w:tcPr>
          <w:p w:rsidR="00E2507D" w:rsidRPr="00EF06C0" w:rsidP="00E2507D">
            <w:pPr>
              <w:spacing w:after="0"/>
              <w:jc w:val="right"/>
              <w:rPr>
                <w:rFonts w:eastAsia="Times New Roman" w:cs="Arial"/>
                <w:sz w:val="20"/>
                <w:szCs w:val="20"/>
                <w:lang w:eastAsia="en-GB"/>
              </w:rPr>
            </w:pPr>
            <w:r w:rsidRPr="00EF06C0">
              <w:rPr>
                <w:rFonts w:eastAsia="Times New Roman" w:cs="Arial"/>
                <w:sz w:val="20"/>
                <w:szCs w:val="20"/>
                <w:lang w:eastAsia="en-GB"/>
              </w:rPr>
              <w:t>4.114</w:t>
            </w:r>
          </w:p>
        </w:tc>
        <w:tc>
          <w:tcPr>
            <w:tcW w:w="1780" w:type="dxa"/>
            <w:tcBorders>
              <w:top w:val="nil"/>
              <w:left w:val="nil"/>
              <w:bottom w:val="single" w:sz="4" w:space="0" w:color="auto"/>
              <w:right w:val="single" w:sz="4" w:space="0" w:color="auto"/>
            </w:tcBorders>
            <w:shd w:val="clear" w:color="auto" w:fill="auto"/>
            <w:vAlign w:val="center"/>
            <w:hideMark/>
          </w:tcPr>
          <w:p w:rsidR="00E2507D" w:rsidRPr="00EF06C0" w:rsidP="00E2507D">
            <w:pPr>
              <w:spacing w:after="0"/>
              <w:jc w:val="right"/>
              <w:rPr>
                <w:rFonts w:eastAsia="Times New Roman" w:cs="Arial"/>
                <w:sz w:val="20"/>
                <w:szCs w:val="20"/>
                <w:lang w:eastAsia="en-GB"/>
              </w:rPr>
            </w:pPr>
            <w:r w:rsidRPr="00EF06C0">
              <w:rPr>
                <w:rFonts w:eastAsia="Times New Roman" w:cs="Arial"/>
                <w:sz w:val="20"/>
                <w:szCs w:val="20"/>
                <w:lang w:eastAsia="en-GB"/>
              </w:rPr>
              <w:t>1.614</w:t>
            </w:r>
          </w:p>
        </w:tc>
      </w:tr>
      <w:tr w:rsidTr="00E2507D">
        <w:tblPrEx>
          <w:tblW w:w="8420" w:type="dxa"/>
          <w:tblLook w:val="04A0"/>
        </w:tblPrEx>
        <w:trPr>
          <w:trHeight w:val="290"/>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E2507D" w:rsidRPr="00EF06C0" w:rsidP="00E2507D">
            <w:pPr>
              <w:spacing w:after="0"/>
              <w:rPr>
                <w:rFonts w:eastAsia="Times New Roman" w:cs="Arial"/>
                <w:sz w:val="20"/>
                <w:szCs w:val="20"/>
                <w:lang w:eastAsia="en-GB"/>
              </w:rPr>
            </w:pPr>
            <w:r w:rsidRPr="00EF06C0">
              <w:rPr>
                <w:rFonts w:eastAsia="Times New Roman" w:cs="Arial"/>
                <w:sz w:val="20"/>
                <w:szCs w:val="20"/>
                <w:lang w:eastAsia="en-GB"/>
              </w:rPr>
              <w:t>Children and Young People</w:t>
            </w:r>
          </w:p>
        </w:tc>
        <w:tc>
          <w:tcPr>
            <w:tcW w:w="1780" w:type="dxa"/>
            <w:tcBorders>
              <w:top w:val="nil"/>
              <w:left w:val="nil"/>
              <w:bottom w:val="single" w:sz="4" w:space="0" w:color="auto"/>
              <w:right w:val="single" w:sz="4" w:space="0" w:color="auto"/>
            </w:tcBorders>
            <w:shd w:val="clear" w:color="auto" w:fill="auto"/>
            <w:vAlign w:val="center"/>
            <w:hideMark/>
          </w:tcPr>
          <w:p w:rsidR="00E2507D" w:rsidRPr="00EF06C0" w:rsidP="00E2507D">
            <w:pPr>
              <w:spacing w:after="0"/>
              <w:jc w:val="right"/>
              <w:rPr>
                <w:rFonts w:eastAsia="Times New Roman" w:cs="Arial"/>
                <w:sz w:val="20"/>
                <w:szCs w:val="20"/>
                <w:lang w:eastAsia="en-GB"/>
              </w:rPr>
            </w:pPr>
            <w:r w:rsidRPr="00EF06C0">
              <w:rPr>
                <w:rFonts w:eastAsia="Times New Roman" w:cs="Arial"/>
                <w:sz w:val="20"/>
                <w:szCs w:val="20"/>
                <w:lang w:eastAsia="en-GB"/>
              </w:rPr>
              <w:t>0.011</w:t>
            </w:r>
          </w:p>
        </w:tc>
        <w:tc>
          <w:tcPr>
            <w:tcW w:w="1780" w:type="dxa"/>
            <w:tcBorders>
              <w:top w:val="nil"/>
              <w:left w:val="nil"/>
              <w:bottom w:val="single" w:sz="4" w:space="0" w:color="auto"/>
              <w:right w:val="single" w:sz="4" w:space="0" w:color="auto"/>
            </w:tcBorders>
            <w:shd w:val="clear" w:color="auto" w:fill="auto"/>
            <w:vAlign w:val="center"/>
            <w:hideMark/>
          </w:tcPr>
          <w:p w:rsidR="00E2507D" w:rsidRPr="00EF06C0" w:rsidP="00E2507D">
            <w:pPr>
              <w:spacing w:after="0"/>
              <w:jc w:val="right"/>
              <w:rPr>
                <w:rFonts w:eastAsia="Times New Roman" w:cs="Arial"/>
                <w:sz w:val="20"/>
                <w:szCs w:val="20"/>
                <w:lang w:eastAsia="en-GB"/>
              </w:rPr>
            </w:pPr>
            <w:r w:rsidRPr="00EF06C0">
              <w:rPr>
                <w:rFonts w:eastAsia="Times New Roman" w:cs="Arial"/>
                <w:sz w:val="20"/>
                <w:szCs w:val="20"/>
                <w:lang w:eastAsia="en-GB"/>
              </w:rPr>
              <w:t>0.414</w:t>
            </w:r>
          </w:p>
        </w:tc>
        <w:tc>
          <w:tcPr>
            <w:tcW w:w="1780" w:type="dxa"/>
            <w:tcBorders>
              <w:top w:val="nil"/>
              <w:left w:val="nil"/>
              <w:bottom w:val="single" w:sz="4" w:space="0" w:color="auto"/>
              <w:right w:val="single" w:sz="4" w:space="0" w:color="auto"/>
            </w:tcBorders>
            <w:shd w:val="clear" w:color="auto" w:fill="auto"/>
            <w:vAlign w:val="center"/>
            <w:hideMark/>
          </w:tcPr>
          <w:p w:rsidR="00E2507D" w:rsidRPr="00EF06C0" w:rsidP="00E2507D">
            <w:pPr>
              <w:spacing w:after="0"/>
              <w:jc w:val="right"/>
              <w:rPr>
                <w:rFonts w:eastAsia="Times New Roman" w:cs="Arial"/>
                <w:sz w:val="20"/>
                <w:szCs w:val="20"/>
                <w:lang w:eastAsia="en-GB"/>
              </w:rPr>
            </w:pPr>
            <w:r w:rsidRPr="00EF06C0">
              <w:rPr>
                <w:rFonts w:eastAsia="Times New Roman" w:cs="Arial"/>
                <w:sz w:val="20"/>
                <w:szCs w:val="20"/>
                <w:lang w:eastAsia="en-GB"/>
              </w:rPr>
              <w:t>0.403</w:t>
            </w:r>
          </w:p>
        </w:tc>
      </w:tr>
      <w:tr w:rsidTr="00E2507D">
        <w:tblPrEx>
          <w:tblW w:w="8420" w:type="dxa"/>
          <w:tblLook w:val="04A0"/>
        </w:tblPrEx>
        <w:trPr>
          <w:trHeight w:val="290"/>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E2507D" w:rsidRPr="00EF06C0" w:rsidP="00E2507D">
            <w:pPr>
              <w:spacing w:after="0"/>
              <w:rPr>
                <w:rFonts w:eastAsia="Times New Roman" w:cs="Arial"/>
                <w:sz w:val="20"/>
                <w:szCs w:val="20"/>
                <w:lang w:eastAsia="en-GB"/>
              </w:rPr>
            </w:pPr>
            <w:r w:rsidRPr="00EF06C0">
              <w:rPr>
                <w:rFonts w:eastAsia="Times New Roman" w:cs="Arial"/>
                <w:sz w:val="20"/>
                <w:szCs w:val="20"/>
                <w:lang w:eastAsia="en-GB"/>
              </w:rPr>
              <w:t>Highways</w:t>
            </w:r>
          </w:p>
        </w:tc>
        <w:tc>
          <w:tcPr>
            <w:tcW w:w="1780" w:type="dxa"/>
            <w:tcBorders>
              <w:top w:val="nil"/>
              <w:left w:val="nil"/>
              <w:bottom w:val="single" w:sz="4" w:space="0" w:color="auto"/>
              <w:right w:val="single" w:sz="4" w:space="0" w:color="auto"/>
            </w:tcBorders>
            <w:shd w:val="clear" w:color="auto" w:fill="auto"/>
            <w:vAlign w:val="center"/>
            <w:hideMark/>
          </w:tcPr>
          <w:p w:rsidR="00E2507D" w:rsidRPr="00EF06C0" w:rsidP="00E2507D">
            <w:pPr>
              <w:spacing w:after="0"/>
              <w:jc w:val="right"/>
              <w:rPr>
                <w:rFonts w:eastAsia="Times New Roman" w:cs="Arial"/>
                <w:sz w:val="20"/>
                <w:szCs w:val="20"/>
                <w:lang w:eastAsia="en-GB"/>
              </w:rPr>
            </w:pPr>
            <w:r w:rsidRPr="00EF06C0">
              <w:rPr>
                <w:rFonts w:eastAsia="Times New Roman" w:cs="Arial"/>
                <w:sz w:val="20"/>
                <w:szCs w:val="20"/>
                <w:lang w:eastAsia="en-GB"/>
              </w:rPr>
              <w:t>54.992</w:t>
            </w:r>
          </w:p>
        </w:tc>
        <w:tc>
          <w:tcPr>
            <w:tcW w:w="1780" w:type="dxa"/>
            <w:tcBorders>
              <w:top w:val="nil"/>
              <w:left w:val="nil"/>
              <w:bottom w:val="single" w:sz="4" w:space="0" w:color="auto"/>
              <w:right w:val="single" w:sz="4" w:space="0" w:color="auto"/>
            </w:tcBorders>
            <w:shd w:val="clear" w:color="auto" w:fill="auto"/>
            <w:vAlign w:val="center"/>
            <w:hideMark/>
          </w:tcPr>
          <w:p w:rsidR="00E2507D" w:rsidRPr="00EF06C0" w:rsidP="00E2507D">
            <w:pPr>
              <w:spacing w:after="0"/>
              <w:jc w:val="right"/>
              <w:rPr>
                <w:rFonts w:eastAsia="Times New Roman" w:cs="Arial"/>
                <w:sz w:val="20"/>
                <w:szCs w:val="20"/>
                <w:lang w:eastAsia="en-GB"/>
              </w:rPr>
            </w:pPr>
            <w:r w:rsidRPr="00EF06C0">
              <w:rPr>
                <w:rFonts w:eastAsia="Times New Roman" w:cs="Arial"/>
                <w:sz w:val="20"/>
                <w:szCs w:val="20"/>
                <w:lang w:eastAsia="en-GB"/>
              </w:rPr>
              <w:t>45.505</w:t>
            </w:r>
          </w:p>
        </w:tc>
        <w:tc>
          <w:tcPr>
            <w:tcW w:w="1780" w:type="dxa"/>
            <w:tcBorders>
              <w:top w:val="nil"/>
              <w:left w:val="nil"/>
              <w:bottom w:val="single" w:sz="4" w:space="0" w:color="auto"/>
              <w:right w:val="single" w:sz="4" w:space="0" w:color="auto"/>
            </w:tcBorders>
            <w:shd w:val="clear" w:color="auto" w:fill="auto"/>
            <w:vAlign w:val="center"/>
            <w:hideMark/>
          </w:tcPr>
          <w:p w:rsidR="00E2507D" w:rsidRPr="00EF06C0" w:rsidP="00E2507D">
            <w:pPr>
              <w:spacing w:after="0"/>
              <w:jc w:val="right"/>
              <w:rPr>
                <w:rFonts w:eastAsia="Times New Roman" w:cs="Arial"/>
                <w:sz w:val="20"/>
                <w:szCs w:val="20"/>
                <w:lang w:eastAsia="en-GB"/>
              </w:rPr>
            </w:pPr>
            <w:r w:rsidRPr="00EF06C0">
              <w:rPr>
                <w:rFonts w:eastAsia="Times New Roman" w:cs="Arial"/>
                <w:sz w:val="20"/>
                <w:szCs w:val="20"/>
                <w:lang w:eastAsia="en-GB"/>
              </w:rPr>
              <w:t>-9.487</w:t>
            </w:r>
          </w:p>
        </w:tc>
      </w:tr>
      <w:tr w:rsidTr="00E2507D">
        <w:tblPrEx>
          <w:tblW w:w="8420" w:type="dxa"/>
          <w:tblLook w:val="04A0"/>
        </w:tblPrEx>
        <w:trPr>
          <w:trHeight w:val="290"/>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E2507D" w:rsidRPr="00EF06C0" w:rsidP="00E2507D">
            <w:pPr>
              <w:spacing w:after="0"/>
              <w:rPr>
                <w:rFonts w:eastAsia="Times New Roman" w:cs="Arial"/>
                <w:sz w:val="20"/>
                <w:szCs w:val="20"/>
                <w:lang w:eastAsia="en-GB"/>
              </w:rPr>
            </w:pPr>
            <w:r w:rsidRPr="00EF06C0">
              <w:rPr>
                <w:rFonts w:eastAsia="Times New Roman" w:cs="Arial"/>
                <w:sz w:val="20"/>
                <w:szCs w:val="20"/>
                <w:lang w:eastAsia="en-GB"/>
              </w:rPr>
              <w:t>Transport</w:t>
            </w:r>
          </w:p>
        </w:tc>
        <w:tc>
          <w:tcPr>
            <w:tcW w:w="1780" w:type="dxa"/>
            <w:tcBorders>
              <w:top w:val="nil"/>
              <w:left w:val="nil"/>
              <w:bottom w:val="single" w:sz="4" w:space="0" w:color="auto"/>
              <w:right w:val="single" w:sz="4" w:space="0" w:color="auto"/>
            </w:tcBorders>
            <w:shd w:val="clear" w:color="auto" w:fill="auto"/>
            <w:vAlign w:val="center"/>
            <w:hideMark/>
          </w:tcPr>
          <w:p w:rsidR="00E2507D" w:rsidRPr="00EF06C0" w:rsidP="00E2507D">
            <w:pPr>
              <w:spacing w:after="0"/>
              <w:jc w:val="right"/>
              <w:rPr>
                <w:rFonts w:eastAsia="Times New Roman" w:cs="Arial"/>
                <w:sz w:val="20"/>
                <w:szCs w:val="20"/>
                <w:lang w:eastAsia="en-GB"/>
              </w:rPr>
            </w:pPr>
            <w:r w:rsidRPr="00EF06C0">
              <w:rPr>
                <w:rFonts w:eastAsia="Times New Roman" w:cs="Arial"/>
                <w:sz w:val="20"/>
                <w:szCs w:val="20"/>
                <w:lang w:eastAsia="en-GB"/>
              </w:rPr>
              <w:t>21.038</w:t>
            </w:r>
          </w:p>
        </w:tc>
        <w:tc>
          <w:tcPr>
            <w:tcW w:w="1780" w:type="dxa"/>
            <w:tcBorders>
              <w:top w:val="nil"/>
              <w:left w:val="nil"/>
              <w:bottom w:val="single" w:sz="4" w:space="0" w:color="auto"/>
              <w:right w:val="single" w:sz="4" w:space="0" w:color="auto"/>
            </w:tcBorders>
            <w:shd w:val="clear" w:color="auto" w:fill="auto"/>
            <w:vAlign w:val="center"/>
            <w:hideMark/>
          </w:tcPr>
          <w:p w:rsidR="00E2507D" w:rsidRPr="00EF06C0" w:rsidP="00E2507D">
            <w:pPr>
              <w:spacing w:after="0"/>
              <w:jc w:val="right"/>
              <w:rPr>
                <w:rFonts w:eastAsia="Times New Roman" w:cs="Arial"/>
                <w:sz w:val="20"/>
                <w:szCs w:val="20"/>
                <w:lang w:eastAsia="en-GB"/>
              </w:rPr>
            </w:pPr>
            <w:r w:rsidRPr="00EF06C0">
              <w:rPr>
                <w:rFonts w:eastAsia="Times New Roman" w:cs="Arial"/>
                <w:sz w:val="20"/>
                <w:szCs w:val="20"/>
                <w:lang w:eastAsia="en-GB"/>
              </w:rPr>
              <w:t>12.481</w:t>
            </w:r>
          </w:p>
        </w:tc>
        <w:tc>
          <w:tcPr>
            <w:tcW w:w="1780" w:type="dxa"/>
            <w:tcBorders>
              <w:top w:val="nil"/>
              <w:left w:val="nil"/>
              <w:bottom w:val="single" w:sz="4" w:space="0" w:color="auto"/>
              <w:right w:val="single" w:sz="4" w:space="0" w:color="auto"/>
            </w:tcBorders>
            <w:shd w:val="clear" w:color="auto" w:fill="auto"/>
            <w:vAlign w:val="center"/>
            <w:hideMark/>
          </w:tcPr>
          <w:p w:rsidR="00E2507D" w:rsidRPr="00EF06C0" w:rsidP="00E2507D">
            <w:pPr>
              <w:spacing w:after="0"/>
              <w:jc w:val="right"/>
              <w:rPr>
                <w:rFonts w:eastAsia="Times New Roman" w:cs="Arial"/>
                <w:sz w:val="20"/>
                <w:szCs w:val="20"/>
                <w:lang w:eastAsia="en-GB"/>
              </w:rPr>
            </w:pPr>
            <w:r w:rsidRPr="00EF06C0">
              <w:rPr>
                <w:rFonts w:eastAsia="Times New Roman" w:cs="Arial"/>
                <w:sz w:val="20"/>
                <w:szCs w:val="20"/>
                <w:lang w:eastAsia="en-GB"/>
              </w:rPr>
              <w:t>-8.557</w:t>
            </w:r>
          </w:p>
        </w:tc>
      </w:tr>
      <w:tr w:rsidTr="00E2507D">
        <w:tblPrEx>
          <w:tblW w:w="8420" w:type="dxa"/>
          <w:tblLook w:val="04A0"/>
        </w:tblPrEx>
        <w:trPr>
          <w:trHeight w:val="290"/>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E2507D" w:rsidRPr="00EF06C0" w:rsidP="00E2507D">
            <w:pPr>
              <w:spacing w:after="0"/>
              <w:rPr>
                <w:rFonts w:eastAsia="Times New Roman" w:cs="Arial"/>
                <w:sz w:val="20"/>
                <w:szCs w:val="20"/>
                <w:lang w:eastAsia="en-GB"/>
              </w:rPr>
            </w:pPr>
            <w:r w:rsidRPr="00EF06C0">
              <w:rPr>
                <w:rFonts w:eastAsia="Times New Roman" w:cs="Arial"/>
                <w:sz w:val="20"/>
                <w:szCs w:val="20"/>
                <w:lang w:eastAsia="en-GB"/>
              </w:rPr>
              <w:t>Externally Funded Schemes</w:t>
            </w:r>
          </w:p>
        </w:tc>
        <w:tc>
          <w:tcPr>
            <w:tcW w:w="1780" w:type="dxa"/>
            <w:tcBorders>
              <w:top w:val="nil"/>
              <w:left w:val="nil"/>
              <w:bottom w:val="single" w:sz="4" w:space="0" w:color="auto"/>
              <w:right w:val="single" w:sz="4" w:space="0" w:color="auto"/>
            </w:tcBorders>
            <w:shd w:val="clear" w:color="auto" w:fill="auto"/>
            <w:vAlign w:val="center"/>
            <w:hideMark/>
          </w:tcPr>
          <w:p w:rsidR="00E2507D" w:rsidRPr="00EF06C0" w:rsidP="00E2507D">
            <w:pPr>
              <w:spacing w:after="0"/>
              <w:jc w:val="right"/>
              <w:rPr>
                <w:rFonts w:eastAsia="Times New Roman" w:cs="Arial"/>
                <w:sz w:val="20"/>
                <w:szCs w:val="20"/>
                <w:lang w:eastAsia="en-GB"/>
              </w:rPr>
            </w:pPr>
            <w:r w:rsidRPr="00EF06C0">
              <w:rPr>
                <w:rFonts w:eastAsia="Times New Roman" w:cs="Arial"/>
                <w:sz w:val="20"/>
                <w:szCs w:val="20"/>
                <w:lang w:eastAsia="en-GB"/>
              </w:rPr>
              <w:t>12.851</w:t>
            </w:r>
          </w:p>
        </w:tc>
        <w:tc>
          <w:tcPr>
            <w:tcW w:w="1780" w:type="dxa"/>
            <w:tcBorders>
              <w:top w:val="nil"/>
              <w:left w:val="nil"/>
              <w:bottom w:val="single" w:sz="4" w:space="0" w:color="auto"/>
              <w:right w:val="single" w:sz="4" w:space="0" w:color="auto"/>
            </w:tcBorders>
            <w:shd w:val="clear" w:color="auto" w:fill="auto"/>
            <w:vAlign w:val="center"/>
            <w:hideMark/>
          </w:tcPr>
          <w:p w:rsidR="00E2507D" w:rsidRPr="00EF06C0" w:rsidP="00E2507D">
            <w:pPr>
              <w:spacing w:after="0"/>
              <w:jc w:val="right"/>
              <w:rPr>
                <w:rFonts w:eastAsia="Times New Roman" w:cs="Arial"/>
                <w:sz w:val="20"/>
                <w:szCs w:val="20"/>
                <w:lang w:eastAsia="en-GB"/>
              </w:rPr>
            </w:pPr>
            <w:r w:rsidRPr="00EF06C0">
              <w:rPr>
                <w:rFonts w:eastAsia="Times New Roman" w:cs="Arial"/>
                <w:sz w:val="20"/>
                <w:szCs w:val="20"/>
                <w:lang w:eastAsia="en-GB"/>
              </w:rPr>
              <w:t>5.673</w:t>
            </w:r>
          </w:p>
        </w:tc>
        <w:tc>
          <w:tcPr>
            <w:tcW w:w="1780" w:type="dxa"/>
            <w:tcBorders>
              <w:top w:val="nil"/>
              <w:left w:val="nil"/>
              <w:bottom w:val="single" w:sz="4" w:space="0" w:color="auto"/>
              <w:right w:val="single" w:sz="4" w:space="0" w:color="auto"/>
            </w:tcBorders>
            <w:shd w:val="clear" w:color="auto" w:fill="auto"/>
            <w:vAlign w:val="center"/>
            <w:hideMark/>
          </w:tcPr>
          <w:p w:rsidR="00E2507D" w:rsidRPr="00EF06C0" w:rsidP="00E2507D">
            <w:pPr>
              <w:spacing w:after="0"/>
              <w:jc w:val="right"/>
              <w:rPr>
                <w:rFonts w:eastAsia="Times New Roman" w:cs="Arial"/>
                <w:sz w:val="20"/>
                <w:szCs w:val="20"/>
                <w:lang w:eastAsia="en-GB"/>
              </w:rPr>
            </w:pPr>
            <w:r w:rsidRPr="00EF06C0">
              <w:rPr>
                <w:rFonts w:eastAsia="Times New Roman" w:cs="Arial"/>
                <w:sz w:val="20"/>
                <w:szCs w:val="20"/>
                <w:lang w:eastAsia="en-GB"/>
              </w:rPr>
              <w:t>-7.178</w:t>
            </w:r>
          </w:p>
        </w:tc>
      </w:tr>
      <w:tr w:rsidTr="00E2507D">
        <w:tblPrEx>
          <w:tblW w:w="8420" w:type="dxa"/>
          <w:tblLook w:val="04A0"/>
        </w:tblPrEx>
        <w:trPr>
          <w:trHeight w:val="290"/>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E2507D" w:rsidRPr="00EF06C0" w:rsidP="00E2507D">
            <w:pPr>
              <w:spacing w:after="0"/>
              <w:rPr>
                <w:rFonts w:eastAsia="Times New Roman" w:cs="Arial"/>
                <w:sz w:val="20"/>
                <w:szCs w:val="20"/>
                <w:lang w:eastAsia="en-GB"/>
              </w:rPr>
            </w:pPr>
            <w:r w:rsidRPr="00EF06C0">
              <w:rPr>
                <w:rFonts w:eastAsia="Times New Roman" w:cs="Arial"/>
                <w:sz w:val="20"/>
                <w:szCs w:val="20"/>
                <w:lang w:eastAsia="en-GB"/>
              </w:rPr>
              <w:t>Waste and Other</w:t>
            </w:r>
          </w:p>
        </w:tc>
        <w:tc>
          <w:tcPr>
            <w:tcW w:w="1780" w:type="dxa"/>
            <w:tcBorders>
              <w:top w:val="nil"/>
              <w:left w:val="nil"/>
              <w:bottom w:val="single" w:sz="4" w:space="0" w:color="auto"/>
              <w:right w:val="single" w:sz="4" w:space="0" w:color="auto"/>
            </w:tcBorders>
            <w:shd w:val="clear" w:color="auto" w:fill="auto"/>
            <w:vAlign w:val="center"/>
            <w:hideMark/>
          </w:tcPr>
          <w:p w:rsidR="00E2507D" w:rsidRPr="00EF06C0" w:rsidP="00E2507D">
            <w:pPr>
              <w:spacing w:after="0"/>
              <w:jc w:val="right"/>
              <w:rPr>
                <w:rFonts w:eastAsia="Times New Roman" w:cs="Arial"/>
                <w:sz w:val="20"/>
                <w:szCs w:val="20"/>
                <w:lang w:eastAsia="en-GB"/>
              </w:rPr>
            </w:pPr>
            <w:r w:rsidRPr="00EF06C0">
              <w:rPr>
                <w:rFonts w:eastAsia="Times New Roman" w:cs="Arial"/>
                <w:sz w:val="20"/>
                <w:szCs w:val="20"/>
                <w:lang w:eastAsia="en-GB"/>
              </w:rPr>
              <w:t>0.871</w:t>
            </w:r>
          </w:p>
        </w:tc>
        <w:tc>
          <w:tcPr>
            <w:tcW w:w="1780" w:type="dxa"/>
            <w:tcBorders>
              <w:top w:val="nil"/>
              <w:left w:val="nil"/>
              <w:bottom w:val="single" w:sz="4" w:space="0" w:color="auto"/>
              <w:right w:val="single" w:sz="4" w:space="0" w:color="auto"/>
            </w:tcBorders>
            <w:shd w:val="clear" w:color="auto" w:fill="auto"/>
            <w:vAlign w:val="center"/>
            <w:hideMark/>
          </w:tcPr>
          <w:p w:rsidR="00E2507D" w:rsidRPr="00EF06C0" w:rsidP="00E2507D">
            <w:pPr>
              <w:spacing w:after="0"/>
              <w:jc w:val="right"/>
              <w:rPr>
                <w:rFonts w:eastAsia="Times New Roman" w:cs="Arial"/>
                <w:sz w:val="20"/>
                <w:szCs w:val="20"/>
                <w:lang w:eastAsia="en-GB"/>
              </w:rPr>
            </w:pPr>
            <w:r w:rsidRPr="00EF06C0">
              <w:rPr>
                <w:rFonts w:eastAsia="Times New Roman" w:cs="Arial"/>
                <w:sz w:val="20"/>
                <w:szCs w:val="20"/>
                <w:lang w:eastAsia="en-GB"/>
              </w:rPr>
              <w:t>0.281</w:t>
            </w:r>
          </w:p>
        </w:tc>
        <w:tc>
          <w:tcPr>
            <w:tcW w:w="1780" w:type="dxa"/>
            <w:tcBorders>
              <w:top w:val="nil"/>
              <w:left w:val="nil"/>
              <w:bottom w:val="single" w:sz="4" w:space="0" w:color="auto"/>
              <w:right w:val="single" w:sz="4" w:space="0" w:color="auto"/>
            </w:tcBorders>
            <w:shd w:val="clear" w:color="auto" w:fill="auto"/>
            <w:vAlign w:val="center"/>
            <w:hideMark/>
          </w:tcPr>
          <w:p w:rsidR="00E2507D" w:rsidRPr="00EF06C0" w:rsidP="00E2507D">
            <w:pPr>
              <w:spacing w:after="0"/>
              <w:jc w:val="right"/>
              <w:rPr>
                <w:rFonts w:eastAsia="Times New Roman" w:cs="Arial"/>
                <w:sz w:val="20"/>
                <w:szCs w:val="20"/>
                <w:lang w:eastAsia="en-GB"/>
              </w:rPr>
            </w:pPr>
            <w:r w:rsidRPr="00EF06C0">
              <w:rPr>
                <w:rFonts w:eastAsia="Times New Roman" w:cs="Arial"/>
                <w:sz w:val="20"/>
                <w:szCs w:val="20"/>
                <w:lang w:eastAsia="en-GB"/>
              </w:rPr>
              <w:t>-0.590</w:t>
            </w:r>
          </w:p>
        </w:tc>
      </w:tr>
      <w:tr w:rsidTr="00E2507D">
        <w:tblPrEx>
          <w:tblW w:w="8420" w:type="dxa"/>
          <w:tblLook w:val="04A0"/>
        </w:tblPrEx>
        <w:trPr>
          <w:trHeight w:val="290"/>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E2507D" w:rsidRPr="00EF06C0" w:rsidP="00E2507D">
            <w:pPr>
              <w:spacing w:after="0"/>
              <w:rPr>
                <w:rFonts w:eastAsia="Times New Roman" w:cs="Arial"/>
                <w:sz w:val="20"/>
                <w:szCs w:val="20"/>
                <w:lang w:eastAsia="en-GB"/>
              </w:rPr>
            </w:pPr>
            <w:r w:rsidRPr="00EF06C0">
              <w:rPr>
                <w:rFonts w:eastAsia="Times New Roman" w:cs="Arial"/>
                <w:sz w:val="20"/>
                <w:szCs w:val="20"/>
                <w:lang w:eastAsia="en-GB"/>
              </w:rPr>
              <w:t>Adult Social Care</w:t>
            </w:r>
          </w:p>
        </w:tc>
        <w:tc>
          <w:tcPr>
            <w:tcW w:w="1780" w:type="dxa"/>
            <w:tcBorders>
              <w:top w:val="nil"/>
              <w:left w:val="nil"/>
              <w:bottom w:val="single" w:sz="4" w:space="0" w:color="auto"/>
              <w:right w:val="single" w:sz="4" w:space="0" w:color="auto"/>
            </w:tcBorders>
            <w:shd w:val="clear" w:color="auto" w:fill="auto"/>
            <w:vAlign w:val="center"/>
            <w:hideMark/>
          </w:tcPr>
          <w:p w:rsidR="00E2507D" w:rsidRPr="00EF06C0" w:rsidP="00E2507D">
            <w:pPr>
              <w:spacing w:after="0"/>
              <w:jc w:val="right"/>
              <w:rPr>
                <w:rFonts w:eastAsia="Times New Roman" w:cs="Arial"/>
                <w:sz w:val="20"/>
                <w:szCs w:val="20"/>
                <w:lang w:eastAsia="en-GB"/>
              </w:rPr>
            </w:pPr>
            <w:r w:rsidRPr="00EF06C0">
              <w:rPr>
                <w:rFonts w:eastAsia="Times New Roman" w:cs="Arial"/>
                <w:sz w:val="20"/>
                <w:szCs w:val="20"/>
                <w:lang w:eastAsia="en-GB"/>
              </w:rPr>
              <w:t>16.644</w:t>
            </w:r>
          </w:p>
        </w:tc>
        <w:tc>
          <w:tcPr>
            <w:tcW w:w="1780" w:type="dxa"/>
            <w:tcBorders>
              <w:top w:val="nil"/>
              <w:left w:val="nil"/>
              <w:bottom w:val="single" w:sz="4" w:space="0" w:color="auto"/>
              <w:right w:val="single" w:sz="4" w:space="0" w:color="auto"/>
            </w:tcBorders>
            <w:shd w:val="clear" w:color="auto" w:fill="auto"/>
            <w:vAlign w:val="center"/>
            <w:hideMark/>
          </w:tcPr>
          <w:p w:rsidR="00E2507D" w:rsidRPr="00EF06C0" w:rsidP="00E2507D">
            <w:pPr>
              <w:spacing w:after="0"/>
              <w:jc w:val="right"/>
              <w:rPr>
                <w:rFonts w:eastAsia="Times New Roman" w:cs="Arial"/>
                <w:sz w:val="20"/>
                <w:szCs w:val="20"/>
                <w:lang w:eastAsia="en-GB"/>
              </w:rPr>
            </w:pPr>
            <w:r w:rsidRPr="00EF06C0">
              <w:rPr>
                <w:rFonts w:eastAsia="Times New Roman" w:cs="Arial"/>
                <w:sz w:val="20"/>
                <w:szCs w:val="20"/>
                <w:lang w:eastAsia="en-GB"/>
              </w:rPr>
              <w:t>17.126</w:t>
            </w:r>
          </w:p>
        </w:tc>
        <w:tc>
          <w:tcPr>
            <w:tcW w:w="1780" w:type="dxa"/>
            <w:tcBorders>
              <w:top w:val="nil"/>
              <w:left w:val="nil"/>
              <w:bottom w:val="single" w:sz="4" w:space="0" w:color="auto"/>
              <w:right w:val="single" w:sz="4" w:space="0" w:color="auto"/>
            </w:tcBorders>
            <w:shd w:val="clear" w:color="auto" w:fill="auto"/>
            <w:vAlign w:val="center"/>
            <w:hideMark/>
          </w:tcPr>
          <w:p w:rsidR="00E2507D" w:rsidRPr="00EF06C0" w:rsidP="00E2507D">
            <w:pPr>
              <w:spacing w:after="0"/>
              <w:jc w:val="right"/>
              <w:rPr>
                <w:rFonts w:eastAsia="Times New Roman" w:cs="Arial"/>
                <w:sz w:val="20"/>
                <w:szCs w:val="20"/>
                <w:lang w:eastAsia="en-GB"/>
              </w:rPr>
            </w:pPr>
            <w:r w:rsidRPr="00EF06C0">
              <w:rPr>
                <w:rFonts w:eastAsia="Times New Roman" w:cs="Arial"/>
                <w:sz w:val="20"/>
                <w:szCs w:val="20"/>
                <w:lang w:eastAsia="en-GB"/>
              </w:rPr>
              <w:t>0.482</w:t>
            </w:r>
          </w:p>
        </w:tc>
      </w:tr>
      <w:tr w:rsidTr="00E2507D">
        <w:tblPrEx>
          <w:tblW w:w="8420" w:type="dxa"/>
          <w:tblLook w:val="04A0"/>
        </w:tblPrEx>
        <w:trPr>
          <w:trHeight w:val="290"/>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E2507D" w:rsidRPr="00EF06C0" w:rsidP="00E2507D">
            <w:pPr>
              <w:spacing w:after="0"/>
              <w:rPr>
                <w:rFonts w:eastAsia="Times New Roman" w:cs="Arial"/>
                <w:sz w:val="20"/>
                <w:szCs w:val="20"/>
                <w:lang w:eastAsia="en-GB"/>
              </w:rPr>
            </w:pPr>
            <w:r w:rsidRPr="00EF06C0">
              <w:rPr>
                <w:rFonts w:eastAsia="Times New Roman" w:cs="Arial"/>
                <w:sz w:val="20"/>
                <w:szCs w:val="20"/>
                <w:lang w:eastAsia="en-GB"/>
              </w:rPr>
              <w:t>Corporate</w:t>
            </w:r>
          </w:p>
        </w:tc>
        <w:tc>
          <w:tcPr>
            <w:tcW w:w="1780" w:type="dxa"/>
            <w:tcBorders>
              <w:top w:val="nil"/>
              <w:left w:val="nil"/>
              <w:bottom w:val="single" w:sz="4" w:space="0" w:color="auto"/>
              <w:right w:val="single" w:sz="4" w:space="0" w:color="auto"/>
            </w:tcBorders>
            <w:shd w:val="clear" w:color="auto" w:fill="auto"/>
            <w:vAlign w:val="center"/>
            <w:hideMark/>
          </w:tcPr>
          <w:p w:rsidR="00E2507D" w:rsidRPr="00EF06C0" w:rsidP="00E2507D">
            <w:pPr>
              <w:spacing w:after="0"/>
              <w:jc w:val="right"/>
              <w:rPr>
                <w:rFonts w:eastAsia="Times New Roman" w:cs="Arial"/>
                <w:sz w:val="20"/>
                <w:szCs w:val="20"/>
                <w:lang w:eastAsia="en-GB"/>
              </w:rPr>
            </w:pPr>
            <w:r w:rsidRPr="00EF06C0">
              <w:rPr>
                <w:rFonts w:eastAsia="Times New Roman" w:cs="Arial"/>
                <w:sz w:val="20"/>
                <w:szCs w:val="20"/>
                <w:lang w:eastAsia="en-GB"/>
              </w:rPr>
              <w:t>17.726</w:t>
            </w:r>
          </w:p>
        </w:tc>
        <w:tc>
          <w:tcPr>
            <w:tcW w:w="1780" w:type="dxa"/>
            <w:tcBorders>
              <w:top w:val="nil"/>
              <w:left w:val="nil"/>
              <w:bottom w:val="single" w:sz="4" w:space="0" w:color="auto"/>
              <w:right w:val="single" w:sz="4" w:space="0" w:color="auto"/>
            </w:tcBorders>
            <w:shd w:val="clear" w:color="auto" w:fill="auto"/>
            <w:vAlign w:val="center"/>
            <w:hideMark/>
          </w:tcPr>
          <w:p w:rsidR="00E2507D" w:rsidRPr="00EF06C0" w:rsidP="00E2507D">
            <w:pPr>
              <w:spacing w:after="0"/>
              <w:jc w:val="right"/>
              <w:rPr>
                <w:rFonts w:eastAsia="Times New Roman" w:cs="Arial"/>
                <w:sz w:val="20"/>
                <w:szCs w:val="20"/>
                <w:lang w:eastAsia="en-GB"/>
              </w:rPr>
            </w:pPr>
            <w:r w:rsidRPr="00EF06C0">
              <w:rPr>
                <w:rFonts w:eastAsia="Times New Roman" w:cs="Arial"/>
                <w:sz w:val="20"/>
                <w:szCs w:val="20"/>
                <w:lang w:eastAsia="en-GB"/>
              </w:rPr>
              <w:t>11.692</w:t>
            </w:r>
          </w:p>
        </w:tc>
        <w:tc>
          <w:tcPr>
            <w:tcW w:w="1780" w:type="dxa"/>
            <w:tcBorders>
              <w:top w:val="nil"/>
              <w:left w:val="nil"/>
              <w:bottom w:val="single" w:sz="4" w:space="0" w:color="auto"/>
              <w:right w:val="single" w:sz="4" w:space="0" w:color="auto"/>
            </w:tcBorders>
            <w:shd w:val="clear" w:color="auto" w:fill="auto"/>
            <w:vAlign w:val="center"/>
            <w:hideMark/>
          </w:tcPr>
          <w:p w:rsidR="00E2507D" w:rsidRPr="00EF06C0" w:rsidP="00E2507D">
            <w:pPr>
              <w:spacing w:after="0"/>
              <w:jc w:val="right"/>
              <w:rPr>
                <w:rFonts w:eastAsia="Times New Roman" w:cs="Arial"/>
                <w:sz w:val="20"/>
                <w:szCs w:val="20"/>
                <w:lang w:eastAsia="en-GB"/>
              </w:rPr>
            </w:pPr>
            <w:r w:rsidRPr="00EF06C0">
              <w:rPr>
                <w:rFonts w:eastAsia="Times New Roman" w:cs="Arial"/>
                <w:sz w:val="20"/>
                <w:szCs w:val="20"/>
                <w:lang w:eastAsia="en-GB"/>
              </w:rPr>
              <w:t>-6.034</w:t>
            </w:r>
          </w:p>
        </w:tc>
      </w:tr>
      <w:tr w:rsidTr="00E2507D">
        <w:tblPrEx>
          <w:tblW w:w="8420" w:type="dxa"/>
          <w:tblLook w:val="04A0"/>
        </w:tblPrEx>
        <w:trPr>
          <w:trHeight w:val="290"/>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E2507D" w:rsidRPr="00EF06C0" w:rsidP="00E2507D">
            <w:pPr>
              <w:spacing w:after="0"/>
              <w:rPr>
                <w:rFonts w:eastAsia="Times New Roman" w:cs="Arial"/>
                <w:sz w:val="20"/>
                <w:szCs w:val="20"/>
                <w:lang w:eastAsia="en-GB"/>
              </w:rPr>
            </w:pPr>
            <w:r w:rsidRPr="00EF06C0">
              <w:rPr>
                <w:rFonts w:eastAsia="Times New Roman" w:cs="Arial"/>
                <w:sz w:val="20"/>
                <w:szCs w:val="20"/>
                <w:lang w:eastAsia="en-GB"/>
              </w:rPr>
              <w:t>Vehicles</w:t>
            </w:r>
          </w:p>
        </w:tc>
        <w:tc>
          <w:tcPr>
            <w:tcW w:w="1780" w:type="dxa"/>
            <w:tcBorders>
              <w:top w:val="nil"/>
              <w:left w:val="nil"/>
              <w:bottom w:val="single" w:sz="4" w:space="0" w:color="auto"/>
              <w:right w:val="single" w:sz="4" w:space="0" w:color="auto"/>
            </w:tcBorders>
            <w:shd w:val="clear" w:color="auto" w:fill="auto"/>
            <w:vAlign w:val="center"/>
            <w:hideMark/>
          </w:tcPr>
          <w:p w:rsidR="00E2507D" w:rsidRPr="00EF06C0" w:rsidP="00E2507D">
            <w:pPr>
              <w:spacing w:after="0"/>
              <w:jc w:val="right"/>
              <w:rPr>
                <w:rFonts w:eastAsia="Times New Roman" w:cs="Arial"/>
                <w:sz w:val="20"/>
                <w:szCs w:val="20"/>
                <w:lang w:eastAsia="en-GB"/>
              </w:rPr>
            </w:pPr>
            <w:r w:rsidRPr="00EF06C0">
              <w:rPr>
                <w:rFonts w:eastAsia="Times New Roman" w:cs="Arial"/>
                <w:sz w:val="20"/>
                <w:szCs w:val="20"/>
                <w:lang w:eastAsia="en-GB"/>
              </w:rPr>
              <w:t>3.360</w:t>
            </w:r>
          </w:p>
        </w:tc>
        <w:tc>
          <w:tcPr>
            <w:tcW w:w="1780" w:type="dxa"/>
            <w:tcBorders>
              <w:top w:val="nil"/>
              <w:left w:val="nil"/>
              <w:bottom w:val="single" w:sz="4" w:space="0" w:color="auto"/>
              <w:right w:val="single" w:sz="4" w:space="0" w:color="auto"/>
            </w:tcBorders>
            <w:shd w:val="clear" w:color="auto" w:fill="auto"/>
            <w:vAlign w:val="center"/>
            <w:hideMark/>
          </w:tcPr>
          <w:p w:rsidR="00E2507D" w:rsidRPr="00EF06C0" w:rsidP="00E2507D">
            <w:pPr>
              <w:spacing w:after="0"/>
              <w:jc w:val="right"/>
              <w:rPr>
                <w:rFonts w:eastAsia="Times New Roman" w:cs="Arial"/>
                <w:sz w:val="20"/>
                <w:szCs w:val="20"/>
                <w:lang w:eastAsia="en-GB"/>
              </w:rPr>
            </w:pPr>
            <w:r w:rsidRPr="00EF06C0">
              <w:rPr>
                <w:rFonts w:eastAsia="Times New Roman" w:cs="Arial"/>
                <w:sz w:val="20"/>
                <w:szCs w:val="20"/>
                <w:lang w:eastAsia="en-GB"/>
              </w:rPr>
              <w:t>2.964</w:t>
            </w:r>
          </w:p>
        </w:tc>
        <w:tc>
          <w:tcPr>
            <w:tcW w:w="1780" w:type="dxa"/>
            <w:tcBorders>
              <w:top w:val="nil"/>
              <w:left w:val="nil"/>
              <w:bottom w:val="single" w:sz="4" w:space="0" w:color="auto"/>
              <w:right w:val="single" w:sz="4" w:space="0" w:color="auto"/>
            </w:tcBorders>
            <w:shd w:val="clear" w:color="auto" w:fill="auto"/>
            <w:vAlign w:val="center"/>
            <w:hideMark/>
          </w:tcPr>
          <w:p w:rsidR="00E2507D" w:rsidRPr="00EF06C0" w:rsidP="00E2507D">
            <w:pPr>
              <w:spacing w:after="0"/>
              <w:jc w:val="right"/>
              <w:rPr>
                <w:rFonts w:eastAsia="Times New Roman" w:cs="Arial"/>
                <w:sz w:val="20"/>
                <w:szCs w:val="20"/>
                <w:lang w:eastAsia="en-GB"/>
              </w:rPr>
            </w:pPr>
            <w:r w:rsidRPr="00EF06C0">
              <w:rPr>
                <w:rFonts w:eastAsia="Times New Roman" w:cs="Arial"/>
                <w:sz w:val="20"/>
                <w:szCs w:val="20"/>
                <w:lang w:eastAsia="en-GB"/>
              </w:rPr>
              <w:t>-0.396</w:t>
            </w:r>
          </w:p>
        </w:tc>
      </w:tr>
      <w:tr w:rsidTr="00E2507D">
        <w:tblPrEx>
          <w:tblW w:w="8420" w:type="dxa"/>
          <w:tblLook w:val="04A0"/>
        </w:tblPrEx>
        <w:trPr>
          <w:trHeight w:val="290"/>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E2507D" w:rsidRPr="00EF06C0" w:rsidP="00E2507D">
            <w:pPr>
              <w:spacing w:after="0"/>
              <w:rPr>
                <w:rFonts w:eastAsia="Times New Roman" w:cs="Arial"/>
                <w:sz w:val="20"/>
                <w:szCs w:val="20"/>
                <w:lang w:eastAsia="en-GB"/>
              </w:rPr>
            </w:pPr>
            <w:r w:rsidRPr="00EF06C0">
              <w:rPr>
                <w:rFonts w:eastAsia="Times New Roman" w:cs="Arial"/>
                <w:sz w:val="20"/>
                <w:szCs w:val="20"/>
                <w:lang w:eastAsia="en-GB"/>
              </w:rPr>
              <w:t>Transforming Cities Fund</w:t>
            </w:r>
          </w:p>
        </w:tc>
        <w:tc>
          <w:tcPr>
            <w:tcW w:w="1780" w:type="dxa"/>
            <w:tcBorders>
              <w:top w:val="nil"/>
              <w:left w:val="nil"/>
              <w:bottom w:val="single" w:sz="4" w:space="0" w:color="auto"/>
              <w:right w:val="single" w:sz="4" w:space="0" w:color="auto"/>
            </w:tcBorders>
            <w:shd w:val="clear" w:color="auto" w:fill="auto"/>
            <w:vAlign w:val="center"/>
            <w:hideMark/>
          </w:tcPr>
          <w:p w:rsidR="00E2507D" w:rsidRPr="00EF06C0" w:rsidP="00E2507D">
            <w:pPr>
              <w:spacing w:after="0"/>
              <w:jc w:val="right"/>
              <w:rPr>
                <w:rFonts w:eastAsia="Times New Roman" w:cs="Arial"/>
                <w:sz w:val="20"/>
                <w:szCs w:val="20"/>
                <w:lang w:eastAsia="en-GB"/>
              </w:rPr>
            </w:pPr>
            <w:r w:rsidRPr="00EF06C0">
              <w:rPr>
                <w:rFonts w:eastAsia="Times New Roman" w:cs="Arial"/>
                <w:sz w:val="20"/>
                <w:szCs w:val="20"/>
                <w:lang w:eastAsia="en-GB"/>
              </w:rPr>
              <w:t>0.650</w:t>
            </w:r>
          </w:p>
        </w:tc>
        <w:tc>
          <w:tcPr>
            <w:tcW w:w="1780" w:type="dxa"/>
            <w:tcBorders>
              <w:top w:val="nil"/>
              <w:left w:val="nil"/>
              <w:bottom w:val="single" w:sz="4" w:space="0" w:color="auto"/>
              <w:right w:val="single" w:sz="4" w:space="0" w:color="auto"/>
            </w:tcBorders>
            <w:shd w:val="clear" w:color="auto" w:fill="auto"/>
            <w:vAlign w:val="center"/>
            <w:hideMark/>
          </w:tcPr>
          <w:p w:rsidR="00E2507D" w:rsidRPr="00EF06C0" w:rsidP="00E2507D">
            <w:pPr>
              <w:spacing w:after="0"/>
              <w:jc w:val="right"/>
              <w:rPr>
                <w:rFonts w:eastAsia="Times New Roman" w:cs="Arial"/>
                <w:sz w:val="20"/>
                <w:szCs w:val="20"/>
                <w:lang w:eastAsia="en-GB"/>
              </w:rPr>
            </w:pPr>
            <w:r w:rsidRPr="00EF06C0">
              <w:rPr>
                <w:rFonts w:eastAsia="Times New Roman" w:cs="Arial"/>
                <w:sz w:val="20"/>
                <w:szCs w:val="20"/>
                <w:lang w:eastAsia="en-GB"/>
              </w:rPr>
              <w:t>1.012</w:t>
            </w:r>
          </w:p>
        </w:tc>
        <w:tc>
          <w:tcPr>
            <w:tcW w:w="1780" w:type="dxa"/>
            <w:tcBorders>
              <w:top w:val="nil"/>
              <w:left w:val="nil"/>
              <w:bottom w:val="single" w:sz="4" w:space="0" w:color="auto"/>
              <w:right w:val="single" w:sz="4" w:space="0" w:color="auto"/>
            </w:tcBorders>
            <w:shd w:val="clear" w:color="auto" w:fill="auto"/>
            <w:vAlign w:val="center"/>
            <w:hideMark/>
          </w:tcPr>
          <w:p w:rsidR="00E2507D" w:rsidRPr="00EF06C0" w:rsidP="00E2507D">
            <w:pPr>
              <w:spacing w:after="0"/>
              <w:jc w:val="right"/>
              <w:rPr>
                <w:rFonts w:eastAsia="Times New Roman" w:cs="Arial"/>
                <w:sz w:val="20"/>
                <w:szCs w:val="20"/>
                <w:lang w:eastAsia="en-GB"/>
              </w:rPr>
            </w:pPr>
            <w:r w:rsidRPr="00EF06C0">
              <w:rPr>
                <w:rFonts w:eastAsia="Times New Roman" w:cs="Arial"/>
                <w:sz w:val="20"/>
                <w:szCs w:val="20"/>
                <w:lang w:eastAsia="en-GB"/>
              </w:rPr>
              <w:t>0.362</w:t>
            </w:r>
          </w:p>
        </w:tc>
      </w:tr>
      <w:tr w:rsidTr="00E2507D">
        <w:tblPrEx>
          <w:tblW w:w="8420" w:type="dxa"/>
          <w:tblLook w:val="04A0"/>
        </w:tblPrEx>
        <w:trPr>
          <w:trHeight w:val="290"/>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E2507D" w:rsidRPr="00EF06C0" w:rsidP="00E2507D">
            <w:pPr>
              <w:spacing w:after="0"/>
              <w:rPr>
                <w:rFonts w:eastAsia="Times New Roman" w:cs="Arial"/>
                <w:b/>
                <w:bCs/>
                <w:sz w:val="20"/>
                <w:szCs w:val="20"/>
                <w:lang w:eastAsia="en-GB"/>
              </w:rPr>
            </w:pPr>
            <w:r w:rsidRPr="00EF06C0">
              <w:rPr>
                <w:rFonts w:eastAsia="Times New Roman" w:cs="Arial"/>
                <w:b/>
                <w:bCs/>
                <w:sz w:val="20"/>
                <w:szCs w:val="20"/>
                <w:lang w:eastAsia="en-GB"/>
              </w:rPr>
              <w:t>Grand Total</w:t>
            </w:r>
          </w:p>
        </w:tc>
        <w:tc>
          <w:tcPr>
            <w:tcW w:w="1780" w:type="dxa"/>
            <w:tcBorders>
              <w:top w:val="nil"/>
              <w:left w:val="nil"/>
              <w:bottom w:val="single" w:sz="4" w:space="0" w:color="auto"/>
              <w:right w:val="single" w:sz="4" w:space="0" w:color="auto"/>
            </w:tcBorders>
            <w:shd w:val="clear" w:color="auto" w:fill="auto"/>
            <w:vAlign w:val="center"/>
            <w:hideMark/>
          </w:tcPr>
          <w:p w:rsidR="00E2507D" w:rsidRPr="00EF06C0" w:rsidP="00E2507D">
            <w:pPr>
              <w:spacing w:after="0"/>
              <w:jc w:val="right"/>
              <w:rPr>
                <w:rFonts w:eastAsia="Times New Roman" w:cs="Arial"/>
                <w:b/>
                <w:bCs/>
                <w:sz w:val="20"/>
                <w:szCs w:val="20"/>
                <w:lang w:eastAsia="en-GB"/>
              </w:rPr>
            </w:pPr>
            <w:r w:rsidRPr="00EF06C0">
              <w:rPr>
                <w:rFonts w:eastAsia="Times New Roman" w:cs="Arial"/>
                <w:b/>
                <w:bCs/>
                <w:sz w:val="20"/>
                <w:szCs w:val="20"/>
                <w:lang w:eastAsia="en-GB"/>
              </w:rPr>
              <w:t>154.196</w:t>
            </w:r>
          </w:p>
        </w:tc>
        <w:tc>
          <w:tcPr>
            <w:tcW w:w="1780" w:type="dxa"/>
            <w:tcBorders>
              <w:top w:val="nil"/>
              <w:left w:val="nil"/>
              <w:bottom w:val="single" w:sz="4" w:space="0" w:color="auto"/>
              <w:right w:val="single" w:sz="4" w:space="0" w:color="auto"/>
            </w:tcBorders>
            <w:shd w:val="clear" w:color="auto" w:fill="auto"/>
            <w:vAlign w:val="center"/>
            <w:hideMark/>
          </w:tcPr>
          <w:p w:rsidR="00E2507D" w:rsidRPr="00EF06C0" w:rsidP="00E2507D">
            <w:pPr>
              <w:spacing w:after="0"/>
              <w:jc w:val="right"/>
              <w:rPr>
                <w:rFonts w:eastAsia="Times New Roman" w:cs="Arial"/>
                <w:b/>
                <w:bCs/>
                <w:sz w:val="20"/>
                <w:szCs w:val="20"/>
                <w:lang w:eastAsia="en-GB"/>
              </w:rPr>
            </w:pPr>
            <w:r w:rsidRPr="00EF06C0">
              <w:rPr>
                <w:rFonts w:eastAsia="Times New Roman" w:cs="Arial"/>
                <w:b/>
                <w:bCs/>
                <w:sz w:val="20"/>
                <w:szCs w:val="20"/>
                <w:lang w:eastAsia="en-GB"/>
              </w:rPr>
              <w:t>121.382</w:t>
            </w:r>
          </w:p>
        </w:tc>
        <w:tc>
          <w:tcPr>
            <w:tcW w:w="1780" w:type="dxa"/>
            <w:tcBorders>
              <w:top w:val="nil"/>
              <w:left w:val="nil"/>
              <w:bottom w:val="single" w:sz="4" w:space="0" w:color="auto"/>
              <w:right w:val="single" w:sz="4" w:space="0" w:color="auto"/>
            </w:tcBorders>
            <w:shd w:val="clear" w:color="auto" w:fill="auto"/>
            <w:vAlign w:val="center"/>
            <w:hideMark/>
          </w:tcPr>
          <w:p w:rsidR="00E2507D" w:rsidRPr="00EF06C0" w:rsidP="00E2507D">
            <w:pPr>
              <w:spacing w:after="0"/>
              <w:jc w:val="right"/>
              <w:rPr>
                <w:rFonts w:eastAsia="Times New Roman" w:cs="Arial"/>
                <w:b/>
                <w:bCs/>
                <w:sz w:val="20"/>
                <w:szCs w:val="20"/>
                <w:lang w:eastAsia="en-GB"/>
              </w:rPr>
            </w:pPr>
            <w:r w:rsidRPr="00EF06C0">
              <w:rPr>
                <w:rFonts w:eastAsia="Times New Roman" w:cs="Arial"/>
                <w:b/>
                <w:bCs/>
                <w:sz w:val="20"/>
                <w:szCs w:val="20"/>
                <w:lang w:eastAsia="en-GB"/>
              </w:rPr>
              <w:t>-32.814</w:t>
            </w:r>
          </w:p>
        </w:tc>
      </w:tr>
    </w:tbl>
    <w:p w:rsidR="00E2507D" w:rsidP="00E2507D">
      <w:pPr>
        <w:rPr>
          <w:rFonts w:cs="Arial"/>
        </w:rPr>
      </w:pPr>
    </w:p>
    <w:p w:rsidR="00E2507D" w:rsidP="00E2507D">
      <w:pPr>
        <w:rPr>
          <w:rFonts w:cs="Arial"/>
        </w:rPr>
      </w:pPr>
      <w:r w:rsidRPr="00710CF7">
        <w:rPr>
          <w:rFonts w:cs="Arial"/>
        </w:rPr>
        <w:t>The spend on</w:t>
      </w:r>
      <w:r>
        <w:rPr>
          <w:rFonts w:cs="Arial"/>
        </w:rPr>
        <w:t xml:space="preserve"> this year's Capital programme has been funded by grants (£68.911m), contributions (£11.146m) and borrowing (£41.325m)</w:t>
      </w:r>
    </w:p>
    <w:p w:rsidR="00E2507D" w:rsidP="00E2507D">
      <w:pPr>
        <w:spacing w:after="0"/>
        <w:rPr>
          <w:rFonts w:cs="Arial"/>
        </w:rPr>
      </w:pPr>
      <w:r>
        <w:rPr>
          <w:rFonts w:cs="Arial"/>
        </w:rPr>
        <w:t xml:space="preserve">The variance to budget is summarised in Table 2, this analyses the variance between </w:t>
      </w:r>
    </w:p>
    <w:p w:rsidR="00E2507D" w:rsidRPr="00CE02C6" w:rsidP="00E2507D">
      <w:pPr>
        <w:pStyle w:val="ListParagraph"/>
        <w:numPr>
          <w:ilvl w:val="0"/>
          <w:numId w:val="30"/>
        </w:numPr>
        <w:spacing w:after="0"/>
        <w:rPr>
          <w:rFonts w:cs="Arial"/>
        </w:rPr>
      </w:pPr>
      <w:r>
        <w:rPr>
          <w:rFonts w:cs="Arial"/>
        </w:rPr>
        <w:t>Underspends</w:t>
      </w:r>
      <w:r w:rsidRPr="00CE02C6">
        <w:rPr>
          <w:rFonts w:cs="Arial"/>
        </w:rPr>
        <w:t xml:space="preserve"> on the delivery of completed projects. </w:t>
      </w:r>
    </w:p>
    <w:p w:rsidR="00E2507D" w:rsidRPr="00CE02C6" w:rsidP="00E2507D">
      <w:pPr>
        <w:pStyle w:val="ListParagraph"/>
        <w:numPr>
          <w:ilvl w:val="0"/>
          <w:numId w:val="30"/>
        </w:numPr>
        <w:spacing w:after="0"/>
        <w:rPr>
          <w:rFonts w:cs="Arial"/>
        </w:rPr>
      </w:pPr>
      <w:r>
        <w:rPr>
          <w:rFonts w:cs="Arial"/>
        </w:rPr>
        <w:t>Overspends</w:t>
      </w:r>
      <w:r w:rsidRPr="00CE02C6">
        <w:rPr>
          <w:rFonts w:cs="Arial"/>
        </w:rPr>
        <w:t xml:space="preserve"> on completed projects</w:t>
      </w:r>
      <w:r>
        <w:rPr>
          <w:rFonts w:cs="Arial"/>
        </w:rPr>
        <w:t>.</w:t>
      </w:r>
      <w:r w:rsidRPr="00CE02C6">
        <w:rPr>
          <w:rFonts w:cs="Arial"/>
        </w:rPr>
        <w:t xml:space="preserve"> </w:t>
      </w:r>
    </w:p>
    <w:p w:rsidR="00E2507D" w:rsidRPr="00CE02C6" w:rsidP="00E2507D">
      <w:pPr>
        <w:pStyle w:val="ListParagraph"/>
        <w:numPr>
          <w:ilvl w:val="0"/>
          <w:numId w:val="30"/>
        </w:numPr>
        <w:spacing w:after="0"/>
        <w:rPr>
          <w:rFonts w:cs="Arial"/>
        </w:rPr>
      </w:pPr>
      <w:r>
        <w:rPr>
          <w:rFonts w:cs="Arial"/>
        </w:rPr>
        <w:t xml:space="preserve">Slipped delivery </w:t>
      </w:r>
      <w:r w:rsidRPr="00CE02C6">
        <w:rPr>
          <w:rFonts w:cs="Arial"/>
        </w:rPr>
        <w:t>budgets where delivery has been delayed in</w:t>
      </w:r>
      <w:r>
        <w:rPr>
          <w:rFonts w:cs="Arial"/>
        </w:rPr>
        <w:t xml:space="preserve"> part or full to future years.</w:t>
      </w:r>
    </w:p>
    <w:p w:rsidR="00E2507D" w:rsidRPr="00636FA3" w:rsidP="00E2507D">
      <w:pPr>
        <w:pStyle w:val="ListParagraph"/>
        <w:numPr>
          <w:ilvl w:val="0"/>
          <w:numId w:val="30"/>
        </w:numPr>
        <w:spacing w:after="0"/>
        <w:rPr>
          <w:rFonts w:cs="Arial"/>
          <w:b/>
        </w:rPr>
      </w:pPr>
      <w:r w:rsidRPr="00636FA3">
        <w:rPr>
          <w:rFonts w:cs="Arial"/>
        </w:rPr>
        <w:t xml:space="preserve">Additional Delivery where </w:t>
      </w:r>
      <w:r w:rsidR="00552426">
        <w:rPr>
          <w:rFonts w:cs="Arial"/>
        </w:rPr>
        <w:t>e</w:t>
      </w:r>
      <w:r w:rsidRPr="00636FA3">
        <w:rPr>
          <w:rFonts w:cs="Arial"/>
        </w:rPr>
        <w:t>xpenditure on a</w:t>
      </w:r>
      <w:r>
        <w:rPr>
          <w:rFonts w:cs="Arial"/>
        </w:rPr>
        <w:t>n approved</w:t>
      </w:r>
      <w:r w:rsidRPr="00636FA3">
        <w:rPr>
          <w:rFonts w:cs="Arial"/>
        </w:rPr>
        <w:t xml:space="preserve"> project has been incurred this year where the budget was not included in the </w:t>
      </w:r>
      <w:r>
        <w:rPr>
          <w:rFonts w:cs="Arial"/>
        </w:rPr>
        <w:t xml:space="preserve">2019/20 </w:t>
      </w:r>
      <w:r w:rsidRPr="00636FA3">
        <w:rPr>
          <w:rFonts w:cs="Arial"/>
        </w:rPr>
        <w:t>Delivery Programme</w:t>
      </w:r>
      <w:r>
        <w:rPr>
          <w:rFonts w:cs="Arial"/>
        </w:rPr>
        <w:t>.</w:t>
      </w:r>
    </w:p>
    <w:p w:rsidR="00E2507D" w:rsidRPr="00DC1C0F" w:rsidP="00E2507D">
      <w:pPr>
        <w:rPr>
          <w:b/>
        </w:rPr>
      </w:pPr>
      <w:r w:rsidRPr="00DC1C0F">
        <w:rPr>
          <w:b/>
        </w:rPr>
        <w:t>Table 2</w:t>
      </w:r>
    </w:p>
    <w:tbl>
      <w:tblPr>
        <w:tblW w:w="8666" w:type="dxa"/>
        <w:tblLook w:val="04A0"/>
      </w:tblPr>
      <w:tblGrid>
        <w:gridCol w:w="2015"/>
        <w:gridCol w:w="1261"/>
        <w:gridCol w:w="1495"/>
        <w:gridCol w:w="1373"/>
        <w:gridCol w:w="1261"/>
        <w:gridCol w:w="1261"/>
      </w:tblGrid>
      <w:tr w:rsidTr="00E2507D">
        <w:tblPrEx>
          <w:tblW w:w="8666" w:type="dxa"/>
          <w:tblLook w:val="04A0"/>
        </w:tblPrEx>
        <w:trPr>
          <w:trHeight w:val="1357"/>
        </w:trPr>
        <w:tc>
          <w:tcPr>
            <w:tcW w:w="201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E2507D" w:rsidRPr="00EF06C0" w:rsidP="00E2507D">
            <w:pPr>
              <w:jc w:val="center"/>
              <w:rPr>
                <w:rFonts w:eastAsia="Times New Roman" w:cs="Arial"/>
                <w:b/>
                <w:bCs/>
                <w:sz w:val="20"/>
                <w:szCs w:val="20"/>
                <w:lang w:eastAsia="en-GB"/>
              </w:rPr>
            </w:pPr>
            <w:r>
              <w:t xml:space="preserve"> </w:t>
            </w:r>
            <w:r w:rsidRPr="00EF06C0">
              <w:rPr>
                <w:rFonts w:eastAsia="Times New Roman" w:cs="Arial"/>
                <w:b/>
                <w:bCs/>
                <w:sz w:val="20"/>
                <w:szCs w:val="20"/>
                <w:lang w:eastAsia="en-GB"/>
              </w:rPr>
              <w:t>Service Area</w:t>
            </w:r>
          </w:p>
        </w:tc>
        <w:tc>
          <w:tcPr>
            <w:tcW w:w="1261" w:type="dxa"/>
            <w:tcBorders>
              <w:top w:val="single" w:sz="4" w:space="0" w:color="auto"/>
              <w:left w:val="nil"/>
              <w:bottom w:val="single" w:sz="4" w:space="0" w:color="auto"/>
              <w:right w:val="single" w:sz="4" w:space="0" w:color="auto"/>
            </w:tcBorders>
            <w:shd w:val="clear" w:color="000000" w:fill="D9D9D9"/>
            <w:vAlign w:val="center"/>
            <w:hideMark/>
          </w:tcPr>
          <w:p w:rsidR="00E2507D" w:rsidRPr="00EF06C0" w:rsidP="00E2507D">
            <w:pPr>
              <w:spacing w:after="0"/>
              <w:jc w:val="center"/>
              <w:rPr>
                <w:rFonts w:eastAsia="Times New Roman" w:cs="Arial"/>
                <w:b/>
                <w:bCs/>
                <w:sz w:val="20"/>
                <w:szCs w:val="20"/>
                <w:lang w:eastAsia="en-GB"/>
              </w:rPr>
            </w:pPr>
            <w:r w:rsidRPr="00EF06C0">
              <w:rPr>
                <w:rFonts w:eastAsia="Times New Roman" w:cs="Arial"/>
                <w:b/>
                <w:bCs/>
                <w:sz w:val="20"/>
                <w:szCs w:val="20"/>
                <w:lang w:eastAsia="en-GB"/>
              </w:rPr>
              <w:t>Variance</w:t>
            </w:r>
          </w:p>
        </w:tc>
        <w:tc>
          <w:tcPr>
            <w:tcW w:w="1495" w:type="dxa"/>
            <w:tcBorders>
              <w:top w:val="single" w:sz="4" w:space="0" w:color="auto"/>
              <w:left w:val="nil"/>
              <w:bottom w:val="single" w:sz="4" w:space="0" w:color="auto"/>
              <w:right w:val="single" w:sz="4" w:space="0" w:color="auto"/>
            </w:tcBorders>
            <w:shd w:val="clear" w:color="000000" w:fill="D9D9D9"/>
            <w:vAlign w:val="center"/>
            <w:hideMark/>
          </w:tcPr>
          <w:p w:rsidR="00E2507D" w:rsidRPr="00EF06C0" w:rsidP="00E2507D">
            <w:pPr>
              <w:spacing w:after="0"/>
              <w:jc w:val="center"/>
              <w:rPr>
                <w:rFonts w:eastAsia="Times New Roman" w:cs="Arial"/>
                <w:b/>
                <w:bCs/>
                <w:sz w:val="20"/>
                <w:szCs w:val="20"/>
                <w:lang w:eastAsia="en-GB"/>
              </w:rPr>
            </w:pPr>
            <w:r w:rsidRPr="00EF06C0">
              <w:rPr>
                <w:rFonts w:eastAsia="Times New Roman" w:cs="Arial"/>
                <w:b/>
                <w:bCs/>
                <w:sz w:val="20"/>
                <w:szCs w:val="20"/>
                <w:lang w:eastAsia="en-GB"/>
              </w:rPr>
              <w:t>Underspends and potential underspends</w:t>
            </w:r>
          </w:p>
        </w:tc>
        <w:tc>
          <w:tcPr>
            <w:tcW w:w="1373" w:type="dxa"/>
            <w:tcBorders>
              <w:top w:val="single" w:sz="4" w:space="0" w:color="auto"/>
              <w:left w:val="nil"/>
              <w:bottom w:val="single" w:sz="4" w:space="0" w:color="auto"/>
              <w:right w:val="single" w:sz="4" w:space="0" w:color="auto"/>
            </w:tcBorders>
            <w:shd w:val="clear" w:color="000000" w:fill="D9D9D9"/>
            <w:vAlign w:val="center"/>
            <w:hideMark/>
          </w:tcPr>
          <w:p w:rsidR="00E2507D" w:rsidRPr="00EF06C0" w:rsidP="00E2507D">
            <w:pPr>
              <w:spacing w:after="0"/>
              <w:jc w:val="center"/>
              <w:rPr>
                <w:rFonts w:eastAsia="Times New Roman" w:cs="Arial"/>
                <w:b/>
                <w:bCs/>
                <w:sz w:val="20"/>
                <w:szCs w:val="20"/>
                <w:lang w:eastAsia="en-GB"/>
              </w:rPr>
            </w:pPr>
            <w:r w:rsidRPr="00EF06C0">
              <w:rPr>
                <w:rFonts w:eastAsia="Times New Roman" w:cs="Arial"/>
                <w:b/>
                <w:bCs/>
                <w:sz w:val="20"/>
                <w:szCs w:val="20"/>
                <w:lang w:eastAsia="en-GB"/>
              </w:rPr>
              <w:t xml:space="preserve">Overspends and potential overspends </w:t>
            </w:r>
          </w:p>
        </w:tc>
        <w:tc>
          <w:tcPr>
            <w:tcW w:w="1261" w:type="dxa"/>
            <w:tcBorders>
              <w:top w:val="single" w:sz="4" w:space="0" w:color="auto"/>
              <w:left w:val="nil"/>
              <w:bottom w:val="single" w:sz="4" w:space="0" w:color="auto"/>
              <w:right w:val="single" w:sz="4" w:space="0" w:color="auto"/>
            </w:tcBorders>
            <w:shd w:val="clear" w:color="000000" w:fill="D9D9D9"/>
            <w:vAlign w:val="center"/>
            <w:hideMark/>
          </w:tcPr>
          <w:p w:rsidR="00E2507D" w:rsidRPr="00EF06C0" w:rsidP="00E2507D">
            <w:pPr>
              <w:spacing w:after="0"/>
              <w:jc w:val="center"/>
              <w:rPr>
                <w:rFonts w:eastAsia="Times New Roman" w:cs="Arial"/>
                <w:b/>
                <w:bCs/>
                <w:sz w:val="20"/>
                <w:szCs w:val="20"/>
                <w:lang w:eastAsia="en-GB"/>
              </w:rPr>
            </w:pPr>
            <w:r w:rsidRPr="00EF06C0">
              <w:rPr>
                <w:rFonts w:eastAsia="Times New Roman" w:cs="Arial"/>
                <w:b/>
                <w:bCs/>
                <w:sz w:val="20"/>
                <w:szCs w:val="20"/>
                <w:lang w:eastAsia="en-GB"/>
              </w:rPr>
              <w:t>Slipped Delivery</w:t>
            </w:r>
          </w:p>
        </w:tc>
        <w:tc>
          <w:tcPr>
            <w:tcW w:w="1261" w:type="dxa"/>
            <w:tcBorders>
              <w:top w:val="single" w:sz="4" w:space="0" w:color="auto"/>
              <w:left w:val="nil"/>
              <w:bottom w:val="single" w:sz="4" w:space="0" w:color="auto"/>
              <w:right w:val="single" w:sz="4" w:space="0" w:color="auto"/>
            </w:tcBorders>
            <w:shd w:val="clear" w:color="000000" w:fill="D9D9D9"/>
            <w:vAlign w:val="center"/>
            <w:hideMark/>
          </w:tcPr>
          <w:p w:rsidR="00E2507D" w:rsidRPr="00EF06C0" w:rsidP="00E2507D">
            <w:pPr>
              <w:spacing w:after="0"/>
              <w:jc w:val="center"/>
              <w:rPr>
                <w:rFonts w:eastAsia="Times New Roman" w:cs="Arial"/>
                <w:b/>
                <w:bCs/>
                <w:sz w:val="20"/>
                <w:szCs w:val="20"/>
                <w:lang w:eastAsia="en-GB"/>
              </w:rPr>
            </w:pPr>
            <w:r w:rsidRPr="00EF06C0">
              <w:rPr>
                <w:rFonts w:eastAsia="Times New Roman" w:cs="Arial"/>
                <w:b/>
                <w:bCs/>
                <w:sz w:val="20"/>
                <w:szCs w:val="20"/>
                <w:lang w:eastAsia="en-GB"/>
              </w:rPr>
              <w:t>Additional delivery</w:t>
            </w:r>
          </w:p>
        </w:tc>
      </w:tr>
      <w:tr w:rsidTr="00E2507D">
        <w:tblPrEx>
          <w:tblW w:w="8666" w:type="dxa"/>
          <w:tblLook w:val="04A0"/>
        </w:tblPrEx>
        <w:trPr>
          <w:trHeight w:val="222"/>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E2507D" w:rsidRPr="00EF06C0" w:rsidP="00E2507D">
            <w:pPr>
              <w:spacing w:after="0"/>
              <w:rPr>
                <w:rFonts w:eastAsia="Times New Roman" w:cs="Arial"/>
                <w:b/>
                <w:bCs/>
                <w:sz w:val="20"/>
                <w:szCs w:val="20"/>
                <w:lang w:eastAsia="en-GB"/>
              </w:rPr>
            </w:pPr>
          </w:p>
        </w:tc>
        <w:tc>
          <w:tcPr>
            <w:tcW w:w="1261" w:type="dxa"/>
            <w:tcBorders>
              <w:top w:val="nil"/>
              <w:left w:val="nil"/>
              <w:bottom w:val="single" w:sz="4" w:space="0" w:color="auto"/>
              <w:right w:val="single" w:sz="4" w:space="0" w:color="auto"/>
            </w:tcBorders>
            <w:shd w:val="clear" w:color="000000" w:fill="D9D9D9"/>
            <w:noWrap/>
            <w:vAlign w:val="center"/>
            <w:hideMark/>
          </w:tcPr>
          <w:p w:rsidR="00E2507D" w:rsidRPr="00EF06C0" w:rsidP="00E2507D">
            <w:pPr>
              <w:spacing w:after="0"/>
              <w:jc w:val="center"/>
              <w:rPr>
                <w:rFonts w:eastAsia="Times New Roman" w:cs="Arial"/>
                <w:b/>
                <w:bCs/>
                <w:sz w:val="20"/>
                <w:szCs w:val="20"/>
                <w:lang w:eastAsia="en-GB"/>
              </w:rPr>
            </w:pPr>
            <w:r w:rsidRPr="00EF06C0">
              <w:rPr>
                <w:rFonts w:eastAsia="Times New Roman" w:cs="Arial"/>
                <w:b/>
                <w:bCs/>
                <w:sz w:val="20"/>
                <w:szCs w:val="20"/>
                <w:lang w:eastAsia="en-GB"/>
              </w:rPr>
              <w:t>£m</w:t>
            </w:r>
          </w:p>
        </w:tc>
        <w:tc>
          <w:tcPr>
            <w:tcW w:w="1495" w:type="dxa"/>
            <w:tcBorders>
              <w:top w:val="nil"/>
              <w:left w:val="nil"/>
              <w:bottom w:val="single" w:sz="4" w:space="0" w:color="auto"/>
              <w:right w:val="single" w:sz="4" w:space="0" w:color="auto"/>
            </w:tcBorders>
            <w:shd w:val="clear" w:color="000000" w:fill="D9D9D9"/>
            <w:noWrap/>
            <w:vAlign w:val="center"/>
            <w:hideMark/>
          </w:tcPr>
          <w:p w:rsidR="00E2507D" w:rsidRPr="00EF06C0" w:rsidP="00E2507D">
            <w:pPr>
              <w:spacing w:after="0"/>
              <w:jc w:val="center"/>
              <w:rPr>
                <w:rFonts w:eastAsia="Times New Roman" w:cs="Arial"/>
                <w:b/>
                <w:bCs/>
                <w:sz w:val="20"/>
                <w:szCs w:val="20"/>
                <w:lang w:eastAsia="en-GB"/>
              </w:rPr>
            </w:pPr>
            <w:r w:rsidRPr="00EF06C0">
              <w:rPr>
                <w:rFonts w:eastAsia="Times New Roman" w:cs="Arial"/>
                <w:b/>
                <w:bCs/>
                <w:sz w:val="20"/>
                <w:szCs w:val="20"/>
                <w:lang w:eastAsia="en-GB"/>
              </w:rPr>
              <w:t>£m</w:t>
            </w:r>
          </w:p>
        </w:tc>
        <w:tc>
          <w:tcPr>
            <w:tcW w:w="1373" w:type="dxa"/>
            <w:tcBorders>
              <w:top w:val="nil"/>
              <w:left w:val="nil"/>
              <w:bottom w:val="single" w:sz="4" w:space="0" w:color="auto"/>
              <w:right w:val="single" w:sz="4" w:space="0" w:color="auto"/>
            </w:tcBorders>
            <w:shd w:val="clear" w:color="000000" w:fill="D9D9D9"/>
            <w:noWrap/>
            <w:vAlign w:val="center"/>
            <w:hideMark/>
          </w:tcPr>
          <w:p w:rsidR="00E2507D" w:rsidRPr="00EF06C0" w:rsidP="00E2507D">
            <w:pPr>
              <w:spacing w:after="0"/>
              <w:jc w:val="center"/>
              <w:rPr>
                <w:rFonts w:eastAsia="Times New Roman" w:cs="Arial"/>
                <w:b/>
                <w:bCs/>
                <w:sz w:val="20"/>
                <w:szCs w:val="20"/>
                <w:lang w:eastAsia="en-GB"/>
              </w:rPr>
            </w:pPr>
            <w:r w:rsidRPr="00EF06C0">
              <w:rPr>
                <w:rFonts w:eastAsia="Times New Roman" w:cs="Arial"/>
                <w:b/>
                <w:bCs/>
                <w:sz w:val="20"/>
                <w:szCs w:val="20"/>
                <w:lang w:eastAsia="en-GB"/>
              </w:rPr>
              <w:t>£m</w:t>
            </w:r>
          </w:p>
        </w:tc>
        <w:tc>
          <w:tcPr>
            <w:tcW w:w="1261" w:type="dxa"/>
            <w:tcBorders>
              <w:top w:val="nil"/>
              <w:left w:val="nil"/>
              <w:bottom w:val="single" w:sz="4" w:space="0" w:color="auto"/>
              <w:right w:val="single" w:sz="4" w:space="0" w:color="auto"/>
            </w:tcBorders>
            <w:shd w:val="clear" w:color="000000" w:fill="D9D9D9"/>
            <w:noWrap/>
            <w:vAlign w:val="center"/>
            <w:hideMark/>
          </w:tcPr>
          <w:p w:rsidR="00E2507D" w:rsidRPr="00EF06C0" w:rsidP="00E2507D">
            <w:pPr>
              <w:spacing w:after="0"/>
              <w:jc w:val="center"/>
              <w:rPr>
                <w:rFonts w:eastAsia="Times New Roman" w:cs="Arial"/>
                <w:b/>
                <w:bCs/>
                <w:sz w:val="20"/>
                <w:szCs w:val="20"/>
                <w:lang w:eastAsia="en-GB"/>
              </w:rPr>
            </w:pPr>
            <w:r w:rsidRPr="00EF06C0">
              <w:rPr>
                <w:rFonts w:eastAsia="Times New Roman" w:cs="Arial"/>
                <w:b/>
                <w:bCs/>
                <w:sz w:val="20"/>
                <w:szCs w:val="20"/>
                <w:lang w:eastAsia="en-GB"/>
              </w:rPr>
              <w:t>£m</w:t>
            </w:r>
          </w:p>
        </w:tc>
        <w:tc>
          <w:tcPr>
            <w:tcW w:w="1261" w:type="dxa"/>
            <w:tcBorders>
              <w:top w:val="nil"/>
              <w:left w:val="nil"/>
              <w:bottom w:val="single" w:sz="4" w:space="0" w:color="auto"/>
              <w:right w:val="single" w:sz="4" w:space="0" w:color="auto"/>
            </w:tcBorders>
            <w:shd w:val="clear" w:color="000000" w:fill="D9D9D9"/>
            <w:noWrap/>
            <w:vAlign w:val="center"/>
            <w:hideMark/>
          </w:tcPr>
          <w:p w:rsidR="00E2507D" w:rsidRPr="00EF06C0" w:rsidP="00E2507D">
            <w:pPr>
              <w:spacing w:after="0"/>
              <w:jc w:val="center"/>
              <w:rPr>
                <w:rFonts w:eastAsia="Times New Roman" w:cs="Arial"/>
                <w:b/>
                <w:bCs/>
                <w:sz w:val="20"/>
                <w:szCs w:val="20"/>
                <w:lang w:eastAsia="en-GB"/>
              </w:rPr>
            </w:pPr>
            <w:r w:rsidRPr="00EF06C0">
              <w:rPr>
                <w:rFonts w:eastAsia="Times New Roman" w:cs="Arial"/>
                <w:b/>
                <w:bCs/>
                <w:sz w:val="20"/>
                <w:szCs w:val="20"/>
                <w:lang w:eastAsia="en-GB"/>
              </w:rPr>
              <w:t>£m</w:t>
            </w:r>
          </w:p>
        </w:tc>
      </w:tr>
      <w:tr w:rsidTr="00E2507D">
        <w:tblPrEx>
          <w:tblW w:w="8666" w:type="dxa"/>
          <w:tblLook w:val="04A0"/>
        </w:tblPrEx>
        <w:trPr>
          <w:trHeight w:val="222"/>
        </w:trPr>
        <w:tc>
          <w:tcPr>
            <w:tcW w:w="2015" w:type="dxa"/>
            <w:tcBorders>
              <w:top w:val="nil"/>
              <w:left w:val="single" w:sz="4" w:space="0" w:color="auto"/>
              <w:bottom w:val="single" w:sz="4" w:space="0" w:color="auto"/>
              <w:right w:val="nil"/>
            </w:tcBorders>
            <w:shd w:val="clear" w:color="auto" w:fill="auto"/>
            <w:noWrap/>
            <w:vAlign w:val="center"/>
            <w:hideMark/>
          </w:tcPr>
          <w:p w:rsidR="00E2507D" w:rsidRPr="00EF06C0" w:rsidP="00E2507D">
            <w:pPr>
              <w:spacing w:after="0"/>
              <w:rPr>
                <w:rFonts w:eastAsia="Times New Roman" w:cs="Arial"/>
                <w:sz w:val="20"/>
                <w:szCs w:val="20"/>
                <w:lang w:eastAsia="en-GB"/>
              </w:rPr>
            </w:pPr>
            <w:r w:rsidRPr="00EF06C0">
              <w:rPr>
                <w:rFonts w:eastAsia="Times New Roman" w:cs="Arial"/>
                <w:sz w:val="20"/>
                <w:szCs w:val="20"/>
                <w:lang w:eastAsia="en-GB"/>
              </w:rPr>
              <w:t>Schools (exc</w:t>
            </w:r>
            <w:r>
              <w:rPr>
                <w:rFonts w:eastAsia="Times New Roman" w:cs="Arial"/>
                <w:sz w:val="20"/>
                <w:szCs w:val="20"/>
                <w:lang w:eastAsia="en-GB"/>
              </w:rPr>
              <w:t>.</w:t>
            </w:r>
            <w:r w:rsidRPr="00EF06C0">
              <w:rPr>
                <w:rFonts w:eastAsia="Times New Roman" w:cs="Arial"/>
                <w:sz w:val="20"/>
                <w:szCs w:val="20"/>
                <w:lang w:eastAsia="en-GB"/>
              </w:rPr>
              <w:t xml:space="preserve"> DFC)</w:t>
            </w:r>
          </w:p>
        </w:tc>
        <w:tc>
          <w:tcPr>
            <w:tcW w:w="1261" w:type="dxa"/>
            <w:tcBorders>
              <w:top w:val="nil"/>
              <w:left w:val="single" w:sz="4" w:space="0" w:color="auto"/>
              <w:bottom w:val="single" w:sz="4" w:space="0" w:color="auto"/>
              <w:right w:val="single" w:sz="4" w:space="0" w:color="auto"/>
            </w:tcBorders>
            <w:shd w:val="clear" w:color="000000" w:fill="D9D9D9"/>
            <w:noWrap/>
            <w:vAlign w:val="bottom"/>
            <w:hideMark/>
          </w:tcPr>
          <w:p w:rsidR="00E2507D" w:rsidRPr="00EF06C0" w:rsidP="00E2507D">
            <w:pPr>
              <w:spacing w:after="0"/>
              <w:jc w:val="right"/>
              <w:rPr>
                <w:rFonts w:eastAsia="Times New Roman" w:cs="Arial"/>
                <w:sz w:val="20"/>
                <w:szCs w:val="20"/>
                <w:lang w:eastAsia="en-GB"/>
              </w:rPr>
            </w:pPr>
            <w:r w:rsidRPr="00EF06C0">
              <w:rPr>
                <w:rFonts w:eastAsia="Times New Roman" w:cs="Arial"/>
                <w:sz w:val="20"/>
                <w:szCs w:val="20"/>
                <w:lang w:eastAsia="en-GB"/>
              </w:rPr>
              <w:t xml:space="preserve">-3.433 </w:t>
            </w:r>
          </w:p>
        </w:tc>
        <w:tc>
          <w:tcPr>
            <w:tcW w:w="1495" w:type="dxa"/>
            <w:tcBorders>
              <w:top w:val="nil"/>
              <w:left w:val="nil"/>
              <w:bottom w:val="single" w:sz="4" w:space="0" w:color="auto"/>
              <w:right w:val="single" w:sz="4" w:space="0" w:color="auto"/>
            </w:tcBorders>
            <w:shd w:val="clear" w:color="auto" w:fill="auto"/>
            <w:noWrap/>
            <w:vAlign w:val="bottom"/>
            <w:hideMark/>
          </w:tcPr>
          <w:p w:rsidR="00E2507D" w:rsidRPr="00EF06C0" w:rsidP="00E2507D">
            <w:pPr>
              <w:spacing w:after="0"/>
              <w:jc w:val="right"/>
              <w:rPr>
                <w:rFonts w:eastAsia="Times New Roman" w:cs="Arial"/>
                <w:sz w:val="20"/>
                <w:szCs w:val="20"/>
                <w:lang w:eastAsia="en-GB"/>
              </w:rPr>
            </w:pPr>
            <w:r w:rsidRPr="00EF06C0">
              <w:rPr>
                <w:rFonts w:eastAsia="Times New Roman" w:cs="Arial"/>
                <w:sz w:val="20"/>
                <w:szCs w:val="20"/>
                <w:lang w:eastAsia="en-GB"/>
              </w:rPr>
              <w:t xml:space="preserve">-0.189 </w:t>
            </w:r>
          </w:p>
        </w:tc>
        <w:tc>
          <w:tcPr>
            <w:tcW w:w="1373" w:type="dxa"/>
            <w:tcBorders>
              <w:top w:val="nil"/>
              <w:left w:val="nil"/>
              <w:bottom w:val="single" w:sz="4" w:space="0" w:color="auto"/>
              <w:right w:val="single" w:sz="4" w:space="0" w:color="auto"/>
            </w:tcBorders>
            <w:shd w:val="clear" w:color="auto" w:fill="auto"/>
            <w:noWrap/>
            <w:vAlign w:val="bottom"/>
            <w:hideMark/>
          </w:tcPr>
          <w:p w:rsidR="00E2507D" w:rsidRPr="00EF06C0" w:rsidP="00E2507D">
            <w:pPr>
              <w:spacing w:after="0"/>
              <w:jc w:val="right"/>
              <w:rPr>
                <w:rFonts w:eastAsia="Times New Roman" w:cs="Arial"/>
                <w:sz w:val="20"/>
                <w:szCs w:val="20"/>
                <w:lang w:eastAsia="en-GB"/>
              </w:rPr>
            </w:pPr>
            <w:r w:rsidRPr="00EF06C0">
              <w:rPr>
                <w:rFonts w:eastAsia="Times New Roman" w:cs="Arial"/>
                <w:sz w:val="20"/>
                <w:szCs w:val="20"/>
                <w:lang w:eastAsia="en-GB"/>
              </w:rPr>
              <w:t xml:space="preserve">0.012 </w:t>
            </w:r>
          </w:p>
        </w:tc>
        <w:tc>
          <w:tcPr>
            <w:tcW w:w="1261" w:type="dxa"/>
            <w:tcBorders>
              <w:top w:val="nil"/>
              <w:left w:val="nil"/>
              <w:bottom w:val="single" w:sz="4" w:space="0" w:color="auto"/>
              <w:right w:val="single" w:sz="4" w:space="0" w:color="auto"/>
            </w:tcBorders>
            <w:shd w:val="clear" w:color="auto" w:fill="auto"/>
            <w:noWrap/>
            <w:vAlign w:val="bottom"/>
            <w:hideMark/>
          </w:tcPr>
          <w:p w:rsidR="00E2507D" w:rsidRPr="00EF06C0" w:rsidP="00E2507D">
            <w:pPr>
              <w:spacing w:after="0"/>
              <w:jc w:val="right"/>
              <w:rPr>
                <w:rFonts w:eastAsia="Times New Roman" w:cs="Arial"/>
                <w:sz w:val="20"/>
                <w:szCs w:val="20"/>
                <w:lang w:eastAsia="en-GB"/>
              </w:rPr>
            </w:pPr>
            <w:r w:rsidRPr="00EF06C0">
              <w:rPr>
                <w:rFonts w:eastAsia="Times New Roman" w:cs="Arial"/>
                <w:sz w:val="20"/>
                <w:szCs w:val="20"/>
                <w:lang w:eastAsia="en-GB"/>
              </w:rPr>
              <w:t xml:space="preserve">-5.362 </w:t>
            </w:r>
          </w:p>
        </w:tc>
        <w:tc>
          <w:tcPr>
            <w:tcW w:w="1261" w:type="dxa"/>
            <w:tcBorders>
              <w:top w:val="nil"/>
              <w:left w:val="nil"/>
              <w:bottom w:val="single" w:sz="4" w:space="0" w:color="auto"/>
              <w:right w:val="single" w:sz="4" w:space="0" w:color="auto"/>
            </w:tcBorders>
            <w:shd w:val="clear" w:color="auto" w:fill="auto"/>
            <w:noWrap/>
            <w:vAlign w:val="bottom"/>
            <w:hideMark/>
          </w:tcPr>
          <w:p w:rsidR="00E2507D" w:rsidRPr="00EF06C0" w:rsidP="00E2507D">
            <w:pPr>
              <w:spacing w:after="0"/>
              <w:jc w:val="right"/>
              <w:rPr>
                <w:rFonts w:eastAsia="Times New Roman" w:cs="Arial"/>
                <w:sz w:val="20"/>
                <w:szCs w:val="20"/>
                <w:lang w:eastAsia="en-GB"/>
              </w:rPr>
            </w:pPr>
            <w:r w:rsidRPr="00EF06C0">
              <w:rPr>
                <w:rFonts w:eastAsia="Times New Roman" w:cs="Arial"/>
                <w:sz w:val="20"/>
                <w:szCs w:val="20"/>
                <w:lang w:eastAsia="en-GB"/>
              </w:rPr>
              <w:t xml:space="preserve">2.106 </w:t>
            </w:r>
          </w:p>
        </w:tc>
      </w:tr>
      <w:tr w:rsidTr="00E2507D">
        <w:tblPrEx>
          <w:tblW w:w="8666" w:type="dxa"/>
          <w:tblLook w:val="04A0"/>
        </w:tblPrEx>
        <w:trPr>
          <w:trHeight w:val="222"/>
        </w:trPr>
        <w:tc>
          <w:tcPr>
            <w:tcW w:w="2015" w:type="dxa"/>
            <w:tcBorders>
              <w:top w:val="nil"/>
              <w:left w:val="single" w:sz="4" w:space="0" w:color="auto"/>
              <w:bottom w:val="single" w:sz="4" w:space="0" w:color="auto"/>
              <w:right w:val="nil"/>
            </w:tcBorders>
            <w:shd w:val="clear" w:color="auto" w:fill="auto"/>
            <w:noWrap/>
            <w:vAlign w:val="center"/>
            <w:hideMark/>
          </w:tcPr>
          <w:p w:rsidR="00E2507D" w:rsidRPr="00EF06C0" w:rsidP="00E2507D">
            <w:pPr>
              <w:spacing w:after="0"/>
              <w:rPr>
                <w:rFonts w:eastAsia="Times New Roman" w:cs="Arial"/>
                <w:sz w:val="20"/>
                <w:szCs w:val="20"/>
                <w:lang w:eastAsia="en-GB"/>
              </w:rPr>
            </w:pPr>
            <w:r w:rsidRPr="00EF06C0">
              <w:rPr>
                <w:rFonts w:eastAsia="Times New Roman" w:cs="Arial"/>
                <w:sz w:val="20"/>
                <w:szCs w:val="20"/>
                <w:lang w:eastAsia="en-GB"/>
              </w:rPr>
              <w:t>Schools DFC</w:t>
            </w:r>
          </w:p>
        </w:tc>
        <w:tc>
          <w:tcPr>
            <w:tcW w:w="1261" w:type="dxa"/>
            <w:tcBorders>
              <w:top w:val="nil"/>
              <w:left w:val="single" w:sz="4" w:space="0" w:color="auto"/>
              <w:bottom w:val="single" w:sz="4" w:space="0" w:color="auto"/>
              <w:right w:val="single" w:sz="4" w:space="0" w:color="auto"/>
            </w:tcBorders>
            <w:shd w:val="clear" w:color="000000" w:fill="D9D9D9"/>
            <w:noWrap/>
            <w:vAlign w:val="bottom"/>
            <w:hideMark/>
          </w:tcPr>
          <w:p w:rsidR="00E2507D" w:rsidRPr="00EF06C0" w:rsidP="00E2507D">
            <w:pPr>
              <w:spacing w:after="0"/>
              <w:jc w:val="right"/>
              <w:rPr>
                <w:rFonts w:eastAsia="Times New Roman" w:cs="Arial"/>
                <w:sz w:val="20"/>
                <w:szCs w:val="20"/>
                <w:lang w:eastAsia="en-GB"/>
              </w:rPr>
            </w:pPr>
            <w:r w:rsidRPr="00EF06C0">
              <w:rPr>
                <w:rFonts w:eastAsia="Times New Roman" w:cs="Arial"/>
                <w:sz w:val="20"/>
                <w:szCs w:val="20"/>
                <w:lang w:eastAsia="en-GB"/>
              </w:rPr>
              <w:t xml:space="preserve">1.614 </w:t>
            </w:r>
          </w:p>
        </w:tc>
        <w:tc>
          <w:tcPr>
            <w:tcW w:w="1495" w:type="dxa"/>
            <w:tcBorders>
              <w:top w:val="nil"/>
              <w:left w:val="nil"/>
              <w:bottom w:val="single" w:sz="4" w:space="0" w:color="auto"/>
              <w:right w:val="single" w:sz="4" w:space="0" w:color="auto"/>
            </w:tcBorders>
            <w:shd w:val="clear" w:color="auto" w:fill="auto"/>
            <w:noWrap/>
            <w:vAlign w:val="bottom"/>
            <w:hideMark/>
          </w:tcPr>
          <w:p w:rsidR="00E2507D" w:rsidRPr="00EF06C0" w:rsidP="00E2507D">
            <w:pPr>
              <w:spacing w:after="0"/>
              <w:jc w:val="right"/>
              <w:rPr>
                <w:rFonts w:eastAsia="Times New Roman" w:cs="Arial"/>
                <w:sz w:val="20"/>
                <w:szCs w:val="20"/>
                <w:lang w:eastAsia="en-GB"/>
              </w:rPr>
            </w:pPr>
            <w:r w:rsidRPr="00EF06C0">
              <w:rPr>
                <w:rFonts w:eastAsia="Times New Roman" w:cs="Arial"/>
                <w:sz w:val="20"/>
                <w:szCs w:val="20"/>
                <w:lang w:eastAsia="en-GB"/>
              </w:rPr>
              <w:t xml:space="preserve">0.000 </w:t>
            </w:r>
          </w:p>
        </w:tc>
        <w:tc>
          <w:tcPr>
            <w:tcW w:w="1373" w:type="dxa"/>
            <w:tcBorders>
              <w:top w:val="nil"/>
              <w:left w:val="nil"/>
              <w:bottom w:val="single" w:sz="4" w:space="0" w:color="auto"/>
              <w:right w:val="single" w:sz="4" w:space="0" w:color="auto"/>
            </w:tcBorders>
            <w:shd w:val="clear" w:color="auto" w:fill="auto"/>
            <w:noWrap/>
            <w:vAlign w:val="bottom"/>
            <w:hideMark/>
          </w:tcPr>
          <w:p w:rsidR="00E2507D" w:rsidRPr="00EF06C0" w:rsidP="00E2507D">
            <w:pPr>
              <w:spacing w:after="0"/>
              <w:jc w:val="right"/>
              <w:rPr>
                <w:rFonts w:eastAsia="Times New Roman" w:cs="Arial"/>
                <w:sz w:val="20"/>
                <w:szCs w:val="20"/>
                <w:lang w:eastAsia="en-GB"/>
              </w:rPr>
            </w:pPr>
            <w:r w:rsidRPr="00EF06C0">
              <w:rPr>
                <w:rFonts w:eastAsia="Times New Roman" w:cs="Arial"/>
                <w:sz w:val="20"/>
                <w:szCs w:val="20"/>
                <w:lang w:eastAsia="en-GB"/>
              </w:rPr>
              <w:t xml:space="preserve">0.000 </w:t>
            </w:r>
          </w:p>
        </w:tc>
        <w:tc>
          <w:tcPr>
            <w:tcW w:w="1261" w:type="dxa"/>
            <w:tcBorders>
              <w:top w:val="nil"/>
              <w:left w:val="nil"/>
              <w:bottom w:val="single" w:sz="4" w:space="0" w:color="auto"/>
              <w:right w:val="single" w:sz="4" w:space="0" w:color="auto"/>
            </w:tcBorders>
            <w:shd w:val="clear" w:color="auto" w:fill="auto"/>
            <w:noWrap/>
            <w:vAlign w:val="bottom"/>
            <w:hideMark/>
          </w:tcPr>
          <w:p w:rsidR="00E2507D" w:rsidRPr="00EF06C0" w:rsidP="00E2507D">
            <w:pPr>
              <w:spacing w:after="0"/>
              <w:jc w:val="right"/>
              <w:rPr>
                <w:rFonts w:eastAsia="Times New Roman" w:cs="Arial"/>
                <w:sz w:val="20"/>
                <w:szCs w:val="20"/>
                <w:lang w:eastAsia="en-GB"/>
              </w:rPr>
            </w:pPr>
            <w:r w:rsidRPr="00EF06C0">
              <w:rPr>
                <w:rFonts w:eastAsia="Times New Roman" w:cs="Arial"/>
                <w:sz w:val="20"/>
                <w:szCs w:val="20"/>
                <w:lang w:eastAsia="en-GB"/>
              </w:rPr>
              <w:t xml:space="preserve">0.000 </w:t>
            </w:r>
          </w:p>
        </w:tc>
        <w:tc>
          <w:tcPr>
            <w:tcW w:w="1261" w:type="dxa"/>
            <w:tcBorders>
              <w:top w:val="nil"/>
              <w:left w:val="nil"/>
              <w:bottom w:val="single" w:sz="4" w:space="0" w:color="auto"/>
              <w:right w:val="single" w:sz="4" w:space="0" w:color="auto"/>
            </w:tcBorders>
            <w:shd w:val="clear" w:color="auto" w:fill="auto"/>
            <w:noWrap/>
            <w:vAlign w:val="bottom"/>
            <w:hideMark/>
          </w:tcPr>
          <w:p w:rsidR="00E2507D" w:rsidRPr="00EF06C0" w:rsidP="00E2507D">
            <w:pPr>
              <w:spacing w:after="0"/>
              <w:jc w:val="right"/>
              <w:rPr>
                <w:rFonts w:eastAsia="Times New Roman" w:cs="Arial"/>
                <w:sz w:val="20"/>
                <w:szCs w:val="20"/>
                <w:lang w:eastAsia="en-GB"/>
              </w:rPr>
            </w:pPr>
            <w:r w:rsidRPr="00EF06C0">
              <w:rPr>
                <w:rFonts w:eastAsia="Times New Roman" w:cs="Arial"/>
                <w:sz w:val="20"/>
                <w:szCs w:val="20"/>
                <w:lang w:eastAsia="en-GB"/>
              </w:rPr>
              <w:t xml:space="preserve">1.614 </w:t>
            </w:r>
          </w:p>
        </w:tc>
      </w:tr>
      <w:tr w:rsidTr="00E2507D">
        <w:tblPrEx>
          <w:tblW w:w="8666" w:type="dxa"/>
          <w:tblLook w:val="04A0"/>
        </w:tblPrEx>
        <w:trPr>
          <w:trHeight w:val="222"/>
        </w:trPr>
        <w:tc>
          <w:tcPr>
            <w:tcW w:w="2015" w:type="dxa"/>
            <w:tcBorders>
              <w:top w:val="nil"/>
              <w:left w:val="single" w:sz="4" w:space="0" w:color="auto"/>
              <w:bottom w:val="single" w:sz="4" w:space="0" w:color="auto"/>
              <w:right w:val="nil"/>
            </w:tcBorders>
            <w:shd w:val="clear" w:color="auto" w:fill="auto"/>
            <w:noWrap/>
            <w:vAlign w:val="center"/>
            <w:hideMark/>
          </w:tcPr>
          <w:p w:rsidR="00E2507D" w:rsidRPr="00EF06C0" w:rsidP="00E2507D">
            <w:pPr>
              <w:spacing w:after="0"/>
              <w:rPr>
                <w:rFonts w:eastAsia="Times New Roman" w:cs="Arial"/>
                <w:sz w:val="20"/>
                <w:szCs w:val="20"/>
                <w:lang w:eastAsia="en-GB"/>
              </w:rPr>
            </w:pPr>
            <w:r w:rsidRPr="00EF06C0">
              <w:rPr>
                <w:rFonts w:eastAsia="Times New Roman" w:cs="Arial"/>
                <w:sz w:val="20"/>
                <w:szCs w:val="20"/>
                <w:lang w:eastAsia="en-GB"/>
              </w:rPr>
              <w:t>Children and Young People</w:t>
            </w:r>
          </w:p>
        </w:tc>
        <w:tc>
          <w:tcPr>
            <w:tcW w:w="1261" w:type="dxa"/>
            <w:tcBorders>
              <w:top w:val="nil"/>
              <w:left w:val="single" w:sz="4" w:space="0" w:color="auto"/>
              <w:bottom w:val="single" w:sz="4" w:space="0" w:color="auto"/>
              <w:right w:val="single" w:sz="4" w:space="0" w:color="auto"/>
            </w:tcBorders>
            <w:shd w:val="clear" w:color="000000" w:fill="D9D9D9"/>
            <w:noWrap/>
            <w:vAlign w:val="bottom"/>
            <w:hideMark/>
          </w:tcPr>
          <w:p w:rsidR="00E2507D" w:rsidRPr="00EF06C0" w:rsidP="00E2507D">
            <w:pPr>
              <w:spacing w:after="0"/>
              <w:jc w:val="right"/>
              <w:rPr>
                <w:rFonts w:eastAsia="Times New Roman" w:cs="Arial"/>
                <w:sz w:val="20"/>
                <w:szCs w:val="20"/>
                <w:lang w:eastAsia="en-GB"/>
              </w:rPr>
            </w:pPr>
            <w:r w:rsidRPr="00EF06C0">
              <w:rPr>
                <w:rFonts w:eastAsia="Times New Roman" w:cs="Arial"/>
                <w:sz w:val="20"/>
                <w:szCs w:val="20"/>
                <w:lang w:eastAsia="en-GB"/>
              </w:rPr>
              <w:t xml:space="preserve">0.403 </w:t>
            </w:r>
          </w:p>
        </w:tc>
        <w:tc>
          <w:tcPr>
            <w:tcW w:w="1495" w:type="dxa"/>
            <w:tcBorders>
              <w:top w:val="nil"/>
              <w:left w:val="nil"/>
              <w:bottom w:val="single" w:sz="4" w:space="0" w:color="auto"/>
              <w:right w:val="single" w:sz="4" w:space="0" w:color="auto"/>
            </w:tcBorders>
            <w:shd w:val="clear" w:color="auto" w:fill="auto"/>
            <w:noWrap/>
            <w:vAlign w:val="bottom"/>
            <w:hideMark/>
          </w:tcPr>
          <w:p w:rsidR="00E2507D" w:rsidRPr="00EF06C0" w:rsidP="00E2507D">
            <w:pPr>
              <w:spacing w:after="0"/>
              <w:jc w:val="right"/>
              <w:rPr>
                <w:rFonts w:eastAsia="Times New Roman" w:cs="Arial"/>
                <w:sz w:val="20"/>
                <w:szCs w:val="20"/>
                <w:lang w:eastAsia="en-GB"/>
              </w:rPr>
            </w:pPr>
            <w:r w:rsidRPr="00EF06C0">
              <w:rPr>
                <w:rFonts w:eastAsia="Times New Roman" w:cs="Arial"/>
                <w:sz w:val="20"/>
                <w:szCs w:val="20"/>
                <w:lang w:eastAsia="en-GB"/>
              </w:rPr>
              <w:t xml:space="preserve">-0.004 </w:t>
            </w:r>
          </w:p>
        </w:tc>
        <w:tc>
          <w:tcPr>
            <w:tcW w:w="1373" w:type="dxa"/>
            <w:tcBorders>
              <w:top w:val="nil"/>
              <w:left w:val="nil"/>
              <w:bottom w:val="single" w:sz="4" w:space="0" w:color="auto"/>
              <w:right w:val="single" w:sz="4" w:space="0" w:color="auto"/>
            </w:tcBorders>
            <w:shd w:val="clear" w:color="auto" w:fill="auto"/>
            <w:noWrap/>
            <w:vAlign w:val="bottom"/>
            <w:hideMark/>
          </w:tcPr>
          <w:p w:rsidR="00E2507D" w:rsidRPr="00EF06C0" w:rsidP="00E2507D">
            <w:pPr>
              <w:spacing w:after="0"/>
              <w:jc w:val="right"/>
              <w:rPr>
                <w:rFonts w:eastAsia="Times New Roman" w:cs="Arial"/>
                <w:sz w:val="20"/>
                <w:szCs w:val="20"/>
                <w:lang w:eastAsia="en-GB"/>
              </w:rPr>
            </w:pPr>
            <w:r w:rsidRPr="00EF06C0">
              <w:rPr>
                <w:rFonts w:eastAsia="Times New Roman" w:cs="Arial"/>
                <w:sz w:val="20"/>
                <w:szCs w:val="20"/>
                <w:lang w:eastAsia="en-GB"/>
              </w:rPr>
              <w:t xml:space="preserve">0.000 </w:t>
            </w:r>
          </w:p>
        </w:tc>
        <w:tc>
          <w:tcPr>
            <w:tcW w:w="1261" w:type="dxa"/>
            <w:tcBorders>
              <w:top w:val="nil"/>
              <w:left w:val="nil"/>
              <w:bottom w:val="single" w:sz="4" w:space="0" w:color="auto"/>
              <w:right w:val="single" w:sz="4" w:space="0" w:color="auto"/>
            </w:tcBorders>
            <w:shd w:val="clear" w:color="auto" w:fill="auto"/>
            <w:noWrap/>
            <w:vAlign w:val="bottom"/>
            <w:hideMark/>
          </w:tcPr>
          <w:p w:rsidR="00E2507D" w:rsidRPr="00EF06C0" w:rsidP="00E2507D">
            <w:pPr>
              <w:spacing w:after="0"/>
              <w:jc w:val="right"/>
              <w:rPr>
                <w:rFonts w:eastAsia="Times New Roman" w:cs="Arial"/>
                <w:sz w:val="20"/>
                <w:szCs w:val="20"/>
                <w:lang w:eastAsia="en-GB"/>
              </w:rPr>
            </w:pPr>
            <w:r w:rsidRPr="00EF06C0">
              <w:rPr>
                <w:rFonts w:eastAsia="Times New Roman" w:cs="Arial"/>
                <w:sz w:val="20"/>
                <w:szCs w:val="20"/>
                <w:lang w:eastAsia="en-GB"/>
              </w:rPr>
              <w:t xml:space="preserve">0.000 </w:t>
            </w:r>
          </w:p>
        </w:tc>
        <w:tc>
          <w:tcPr>
            <w:tcW w:w="1261" w:type="dxa"/>
            <w:tcBorders>
              <w:top w:val="nil"/>
              <w:left w:val="nil"/>
              <w:bottom w:val="single" w:sz="4" w:space="0" w:color="auto"/>
              <w:right w:val="single" w:sz="4" w:space="0" w:color="auto"/>
            </w:tcBorders>
            <w:shd w:val="clear" w:color="auto" w:fill="auto"/>
            <w:noWrap/>
            <w:vAlign w:val="bottom"/>
            <w:hideMark/>
          </w:tcPr>
          <w:p w:rsidR="00E2507D" w:rsidRPr="00EF06C0" w:rsidP="00E2507D">
            <w:pPr>
              <w:spacing w:after="0"/>
              <w:jc w:val="right"/>
              <w:rPr>
                <w:rFonts w:eastAsia="Times New Roman" w:cs="Arial"/>
                <w:sz w:val="20"/>
                <w:szCs w:val="20"/>
                <w:lang w:eastAsia="en-GB"/>
              </w:rPr>
            </w:pPr>
            <w:r w:rsidRPr="00EF06C0">
              <w:rPr>
                <w:rFonts w:eastAsia="Times New Roman" w:cs="Arial"/>
                <w:sz w:val="20"/>
                <w:szCs w:val="20"/>
                <w:lang w:eastAsia="en-GB"/>
              </w:rPr>
              <w:t xml:space="preserve">0.407 </w:t>
            </w:r>
          </w:p>
        </w:tc>
      </w:tr>
      <w:tr w:rsidTr="00E2507D">
        <w:tblPrEx>
          <w:tblW w:w="8666" w:type="dxa"/>
          <w:tblLook w:val="04A0"/>
        </w:tblPrEx>
        <w:trPr>
          <w:trHeight w:val="222"/>
        </w:trPr>
        <w:tc>
          <w:tcPr>
            <w:tcW w:w="2015" w:type="dxa"/>
            <w:tcBorders>
              <w:top w:val="nil"/>
              <w:left w:val="single" w:sz="4" w:space="0" w:color="auto"/>
              <w:bottom w:val="single" w:sz="4" w:space="0" w:color="auto"/>
              <w:right w:val="nil"/>
            </w:tcBorders>
            <w:shd w:val="clear" w:color="auto" w:fill="auto"/>
            <w:noWrap/>
            <w:vAlign w:val="center"/>
            <w:hideMark/>
          </w:tcPr>
          <w:p w:rsidR="00E2507D" w:rsidRPr="00EF06C0" w:rsidP="00E2507D">
            <w:pPr>
              <w:spacing w:after="0"/>
              <w:rPr>
                <w:rFonts w:eastAsia="Times New Roman" w:cs="Arial"/>
                <w:sz w:val="20"/>
                <w:szCs w:val="20"/>
                <w:lang w:eastAsia="en-GB"/>
              </w:rPr>
            </w:pPr>
            <w:r w:rsidRPr="00EF06C0">
              <w:rPr>
                <w:rFonts w:eastAsia="Times New Roman" w:cs="Arial"/>
                <w:sz w:val="20"/>
                <w:szCs w:val="20"/>
                <w:lang w:eastAsia="en-GB"/>
              </w:rPr>
              <w:t>Highways</w:t>
            </w:r>
          </w:p>
        </w:tc>
        <w:tc>
          <w:tcPr>
            <w:tcW w:w="1261" w:type="dxa"/>
            <w:tcBorders>
              <w:top w:val="nil"/>
              <w:left w:val="single" w:sz="4" w:space="0" w:color="auto"/>
              <w:bottom w:val="single" w:sz="4" w:space="0" w:color="auto"/>
              <w:right w:val="single" w:sz="4" w:space="0" w:color="auto"/>
            </w:tcBorders>
            <w:shd w:val="clear" w:color="000000" w:fill="D9D9D9"/>
            <w:noWrap/>
            <w:vAlign w:val="bottom"/>
            <w:hideMark/>
          </w:tcPr>
          <w:p w:rsidR="00E2507D" w:rsidRPr="00EF06C0" w:rsidP="00E2507D">
            <w:pPr>
              <w:spacing w:after="0"/>
              <w:jc w:val="right"/>
              <w:rPr>
                <w:rFonts w:eastAsia="Times New Roman" w:cs="Arial"/>
                <w:sz w:val="20"/>
                <w:szCs w:val="20"/>
                <w:lang w:eastAsia="en-GB"/>
              </w:rPr>
            </w:pPr>
            <w:r w:rsidRPr="00EF06C0">
              <w:rPr>
                <w:rFonts w:eastAsia="Times New Roman" w:cs="Arial"/>
                <w:sz w:val="20"/>
                <w:szCs w:val="20"/>
                <w:lang w:eastAsia="en-GB"/>
              </w:rPr>
              <w:t xml:space="preserve">-9.487 </w:t>
            </w:r>
          </w:p>
        </w:tc>
        <w:tc>
          <w:tcPr>
            <w:tcW w:w="1495" w:type="dxa"/>
            <w:tcBorders>
              <w:top w:val="nil"/>
              <w:left w:val="nil"/>
              <w:bottom w:val="single" w:sz="4" w:space="0" w:color="auto"/>
              <w:right w:val="single" w:sz="4" w:space="0" w:color="auto"/>
            </w:tcBorders>
            <w:shd w:val="clear" w:color="auto" w:fill="auto"/>
            <w:noWrap/>
            <w:vAlign w:val="bottom"/>
            <w:hideMark/>
          </w:tcPr>
          <w:p w:rsidR="00E2507D" w:rsidRPr="00EF06C0" w:rsidP="00E2507D">
            <w:pPr>
              <w:spacing w:after="0"/>
              <w:jc w:val="right"/>
              <w:rPr>
                <w:rFonts w:eastAsia="Times New Roman" w:cs="Arial"/>
                <w:sz w:val="20"/>
                <w:szCs w:val="20"/>
                <w:lang w:eastAsia="en-GB"/>
              </w:rPr>
            </w:pPr>
            <w:r w:rsidRPr="00EF06C0">
              <w:rPr>
                <w:rFonts w:eastAsia="Times New Roman" w:cs="Arial"/>
                <w:sz w:val="20"/>
                <w:szCs w:val="20"/>
                <w:lang w:eastAsia="en-GB"/>
              </w:rPr>
              <w:t xml:space="preserve">-0.698 </w:t>
            </w:r>
          </w:p>
        </w:tc>
        <w:tc>
          <w:tcPr>
            <w:tcW w:w="1373" w:type="dxa"/>
            <w:tcBorders>
              <w:top w:val="nil"/>
              <w:left w:val="nil"/>
              <w:bottom w:val="single" w:sz="4" w:space="0" w:color="auto"/>
              <w:right w:val="single" w:sz="4" w:space="0" w:color="auto"/>
            </w:tcBorders>
            <w:shd w:val="clear" w:color="auto" w:fill="auto"/>
            <w:noWrap/>
            <w:vAlign w:val="bottom"/>
            <w:hideMark/>
          </w:tcPr>
          <w:p w:rsidR="00E2507D" w:rsidRPr="00EF06C0" w:rsidP="00E2507D">
            <w:pPr>
              <w:spacing w:after="0"/>
              <w:jc w:val="right"/>
              <w:rPr>
                <w:rFonts w:eastAsia="Times New Roman" w:cs="Arial"/>
                <w:sz w:val="20"/>
                <w:szCs w:val="20"/>
                <w:lang w:eastAsia="en-GB"/>
              </w:rPr>
            </w:pPr>
            <w:r w:rsidRPr="00EF06C0">
              <w:rPr>
                <w:rFonts w:eastAsia="Times New Roman" w:cs="Arial"/>
                <w:sz w:val="20"/>
                <w:szCs w:val="20"/>
                <w:lang w:eastAsia="en-GB"/>
              </w:rPr>
              <w:t xml:space="preserve">2.836 </w:t>
            </w:r>
          </w:p>
        </w:tc>
        <w:tc>
          <w:tcPr>
            <w:tcW w:w="1261" w:type="dxa"/>
            <w:tcBorders>
              <w:top w:val="nil"/>
              <w:left w:val="nil"/>
              <w:bottom w:val="single" w:sz="4" w:space="0" w:color="auto"/>
              <w:right w:val="single" w:sz="4" w:space="0" w:color="auto"/>
            </w:tcBorders>
            <w:shd w:val="clear" w:color="auto" w:fill="auto"/>
            <w:noWrap/>
            <w:vAlign w:val="bottom"/>
            <w:hideMark/>
          </w:tcPr>
          <w:p w:rsidR="00E2507D" w:rsidRPr="00EF06C0" w:rsidP="00E2507D">
            <w:pPr>
              <w:spacing w:after="0"/>
              <w:jc w:val="right"/>
              <w:rPr>
                <w:rFonts w:eastAsia="Times New Roman" w:cs="Arial"/>
                <w:sz w:val="20"/>
                <w:szCs w:val="20"/>
                <w:lang w:eastAsia="en-GB"/>
              </w:rPr>
            </w:pPr>
            <w:r w:rsidRPr="00EF06C0">
              <w:rPr>
                <w:rFonts w:eastAsia="Times New Roman" w:cs="Arial"/>
                <w:sz w:val="20"/>
                <w:szCs w:val="20"/>
                <w:lang w:eastAsia="en-GB"/>
              </w:rPr>
              <w:t xml:space="preserve">-14.202 </w:t>
            </w:r>
          </w:p>
        </w:tc>
        <w:tc>
          <w:tcPr>
            <w:tcW w:w="1261" w:type="dxa"/>
            <w:tcBorders>
              <w:top w:val="nil"/>
              <w:left w:val="nil"/>
              <w:bottom w:val="single" w:sz="4" w:space="0" w:color="auto"/>
              <w:right w:val="single" w:sz="4" w:space="0" w:color="auto"/>
            </w:tcBorders>
            <w:shd w:val="clear" w:color="auto" w:fill="auto"/>
            <w:noWrap/>
            <w:vAlign w:val="bottom"/>
            <w:hideMark/>
          </w:tcPr>
          <w:p w:rsidR="00E2507D" w:rsidRPr="00EF06C0" w:rsidP="00E2507D">
            <w:pPr>
              <w:spacing w:after="0"/>
              <w:jc w:val="right"/>
              <w:rPr>
                <w:rFonts w:eastAsia="Times New Roman" w:cs="Arial"/>
                <w:sz w:val="20"/>
                <w:szCs w:val="20"/>
                <w:lang w:eastAsia="en-GB"/>
              </w:rPr>
            </w:pPr>
            <w:r w:rsidRPr="00EF06C0">
              <w:rPr>
                <w:rFonts w:eastAsia="Times New Roman" w:cs="Arial"/>
                <w:sz w:val="20"/>
                <w:szCs w:val="20"/>
                <w:lang w:eastAsia="en-GB"/>
              </w:rPr>
              <w:t xml:space="preserve">2.577 </w:t>
            </w:r>
          </w:p>
        </w:tc>
      </w:tr>
      <w:tr w:rsidTr="00E2507D">
        <w:tblPrEx>
          <w:tblW w:w="8666" w:type="dxa"/>
          <w:tblLook w:val="04A0"/>
        </w:tblPrEx>
        <w:trPr>
          <w:trHeight w:val="222"/>
        </w:trPr>
        <w:tc>
          <w:tcPr>
            <w:tcW w:w="2015" w:type="dxa"/>
            <w:tcBorders>
              <w:top w:val="nil"/>
              <w:left w:val="single" w:sz="4" w:space="0" w:color="auto"/>
              <w:bottom w:val="single" w:sz="4" w:space="0" w:color="auto"/>
              <w:right w:val="nil"/>
            </w:tcBorders>
            <w:shd w:val="clear" w:color="auto" w:fill="auto"/>
            <w:noWrap/>
            <w:vAlign w:val="center"/>
            <w:hideMark/>
          </w:tcPr>
          <w:p w:rsidR="00E2507D" w:rsidRPr="00EF06C0" w:rsidP="00E2507D">
            <w:pPr>
              <w:spacing w:after="0"/>
              <w:rPr>
                <w:rFonts w:eastAsia="Times New Roman" w:cs="Arial"/>
                <w:sz w:val="20"/>
                <w:szCs w:val="20"/>
                <w:lang w:eastAsia="en-GB"/>
              </w:rPr>
            </w:pPr>
            <w:r w:rsidRPr="00EF06C0">
              <w:rPr>
                <w:rFonts w:eastAsia="Times New Roman" w:cs="Arial"/>
                <w:sz w:val="20"/>
                <w:szCs w:val="20"/>
                <w:lang w:eastAsia="en-GB"/>
              </w:rPr>
              <w:t>Transport</w:t>
            </w:r>
          </w:p>
        </w:tc>
        <w:tc>
          <w:tcPr>
            <w:tcW w:w="1261" w:type="dxa"/>
            <w:tcBorders>
              <w:top w:val="nil"/>
              <w:left w:val="single" w:sz="4" w:space="0" w:color="auto"/>
              <w:bottom w:val="single" w:sz="4" w:space="0" w:color="auto"/>
              <w:right w:val="single" w:sz="4" w:space="0" w:color="auto"/>
            </w:tcBorders>
            <w:shd w:val="clear" w:color="000000" w:fill="D9D9D9"/>
            <w:noWrap/>
            <w:vAlign w:val="bottom"/>
            <w:hideMark/>
          </w:tcPr>
          <w:p w:rsidR="00E2507D" w:rsidRPr="00EF06C0" w:rsidP="00E2507D">
            <w:pPr>
              <w:spacing w:after="0"/>
              <w:jc w:val="right"/>
              <w:rPr>
                <w:rFonts w:eastAsia="Times New Roman" w:cs="Arial"/>
                <w:sz w:val="20"/>
                <w:szCs w:val="20"/>
                <w:lang w:eastAsia="en-GB"/>
              </w:rPr>
            </w:pPr>
            <w:r w:rsidRPr="00EF06C0">
              <w:rPr>
                <w:rFonts w:eastAsia="Times New Roman" w:cs="Arial"/>
                <w:sz w:val="20"/>
                <w:szCs w:val="20"/>
                <w:lang w:eastAsia="en-GB"/>
              </w:rPr>
              <w:t xml:space="preserve">-8.557 </w:t>
            </w:r>
          </w:p>
        </w:tc>
        <w:tc>
          <w:tcPr>
            <w:tcW w:w="1495" w:type="dxa"/>
            <w:tcBorders>
              <w:top w:val="nil"/>
              <w:left w:val="nil"/>
              <w:bottom w:val="single" w:sz="4" w:space="0" w:color="auto"/>
              <w:right w:val="single" w:sz="4" w:space="0" w:color="auto"/>
            </w:tcBorders>
            <w:shd w:val="clear" w:color="auto" w:fill="auto"/>
            <w:noWrap/>
            <w:vAlign w:val="bottom"/>
            <w:hideMark/>
          </w:tcPr>
          <w:p w:rsidR="00E2507D" w:rsidRPr="00EF06C0" w:rsidP="00E2507D">
            <w:pPr>
              <w:spacing w:after="0"/>
              <w:jc w:val="right"/>
              <w:rPr>
                <w:rFonts w:eastAsia="Times New Roman" w:cs="Arial"/>
                <w:sz w:val="20"/>
                <w:szCs w:val="20"/>
                <w:lang w:eastAsia="en-GB"/>
              </w:rPr>
            </w:pPr>
            <w:r w:rsidRPr="00EF06C0">
              <w:rPr>
                <w:rFonts w:eastAsia="Times New Roman" w:cs="Arial"/>
                <w:sz w:val="20"/>
                <w:szCs w:val="20"/>
                <w:lang w:eastAsia="en-GB"/>
              </w:rPr>
              <w:t xml:space="preserve">-0.039 </w:t>
            </w:r>
          </w:p>
        </w:tc>
        <w:tc>
          <w:tcPr>
            <w:tcW w:w="1373" w:type="dxa"/>
            <w:tcBorders>
              <w:top w:val="nil"/>
              <w:left w:val="nil"/>
              <w:bottom w:val="single" w:sz="4" w:space="0" w:color="auto"/>
              <w:right w:val="single" w:sz="4" w:space="0" w:color="auto"/>
            </w:tcBorders>
            <w:shd w:val="clear" w:color="auto" w:fill="auto"/>
            <w:noWrap/>
            <w:vAlign w:val="bottom"/>
            <w:hideMark/>
          </w:tcPr>
          <w:p w:rsidR="00E2507D" w:rsidRPr="00EF06C0" w:rsidP="00E2507D">
            <w:pPr>
              <w:spacing w:after="0"/>
              <w:jc w:val="right"/>
              <w:rPr>
                <w:rFonts w:eastAsia="Times New Roman" w:cs="Arial"/>
                <w:sz w:val="20"/>
                <w:szCs w:val="20"/>
                <w:lang w:eastAsia="en-GB"/>
              </w:rPr>
            </w:pPr>
            <w:r w:rsidRPr="00EF06C0">
              <w:rPr>
                <w:rFonts w:eastAsia="Times New Roman" w:cs="Arial"/>
                <w:sz w:val="20"/>
                <w:szCs w:val="20"/>
                <w:lang w:eastAsia="en-GB"/>
              </w:rPr>
              <w:t xml:space="preserve">0.000 </w:t>
            </w:r>
          </w:p>
        </w:tc>
        <w:tc>
          <w:tcPr>
            <w:tcW w:w="1261" w:type="dxa"/>
            <w:tcBorders>
              <w:top w:val="nil"/>
              <w:left w:val="nil"/>
              <w:bottom w:val="single" w:sz="4" w:space="0" w:color="auto"/>
              <w:right w:val="single" w:sz="4" w:space="0" w:color="auto"/>
            </w:tcBorders>
            <w:shd w:val="clear" w:color="auto" w:fill="auto"/>
            <w:noWrap/>
            <w:vAlign w:val="bottom"/>
            <w:hideMark/>
          </w:tcPr>
          <w:p w:rsidR="00E2507D" w:rsidRPr="00EF06C0" w:rsidP="00E2507D">
            <w:pPr>
              <w:spacing w:after="0"/>
              <w:jc w:val="right"/>
              <w:rPr>
                <w:rFonts w:eastAsia="Times New Roman" w:cs="Arial"/>
                <w:sz w:val="20"/>
                <w:szCs w:val="20"/>
                <w:lang w:eastAsia="en-GB"/>
              </w:rPr>
            </w:pPr>
            <w:r w:rsidRPr="00EF06C0">
              <w:rPr>
                <w:rFonts w:eastAsia="Times New Roman" w:cs="Arial"/>
                <w:sz w:val="20"/>
                <w:szCs w:val="20"/>
                <w:lang w:eastAsia="en-GB"/>
              </w:rPr>
              <w:t xml:space="preserve">-10.973 </w:t>
            </w:r>
          </w:p>
        </w:tc>
        <w:tc>
          <w:tcPr>
            <w:tcW w:w="1261" w:type="dxa"/>
            <w:tcBorders>
              <w:top w:val="nil"/>
              <w:left w:val="nil"/>
              <w:bottom w:val="single" w:sz="4" w:space="0" w:color="auto"/>
              <w:right w:val="single" w:sz="4" w:space="0" w:color="auto"/>
            </w:tcBorders>
            <w:shd w:val="clear" w:color="auto" w:fill="auto"/>
            <w:noWrap/>
            <w:vAlign w:val="bottom"/>
            <w:hideMark/>
          </w:tcPr>
          <w:p w:rsidR="00E2507D" w:rsidRPr="00EF06C0" w:rsidP="00E2507D">
            <w:pPr>
              <w:spacing w:after="0"/>
              <w:jc w:val="right"/>
              <w:rPr>
                <w:rFonts w:eastAsia="Times New Roman" w:cs="Arial"/>
                <w:sz w:val="20"/>
                <w:szCs w:val="20"/>
                <w:lang w:eastAsia="en-GB"/>
              </w:rPr>
            </w:pPr>
            <w:r w:rsidRPr="00EF06C0">
              <w:rPr>
                <w:rFonts w:eastAsia="Times New Roman" w:cs="Arial"/>
                <w:sz w:val="20"/>
                <w:szCs w:val="20"/>
                <w:lang w:eastAsia="en-GB"/>
              </w:rPr>
              <w:t xml:space="preserve">2.455 </w:t>
            </w:r>
          </w:p>
        </w:tc>
      </w:tr>
      <w:tr w:rsidTr="00E2507D">
        <w:tblPrEx>
          <w:tblW w:w="8666" w:type="dxa"/>
          <w:tblLook w:val="04A0"/>
        </w:tblPrEx>
        <w:trPr>
          <w:trHeight w:val="222"/>
        </w:trPr>
        <w:tc>
          <w:tcPr>
            <w:tcW w:w="2015" w:type="dxa"/>
            <w:tcBorders>
              <w:top w:val="nil"/>
              <w:left w:val="single" w:sz="4" w:space="0" w:color="auto"/>
              <w:bottom w:val="single" w:sz="4" w:space="0" w:color="auto"/>
              <w:right w:val="nil"/>
            </w:tcBorders>
            <w:shd w:val="clear" w:color="auto" w:fill="auto"/>
            <w:noWrap/>
            <w:vAlign w:val="center"/>
            <w:hideMark/>
          </w:tcPr>
          <w:p w:rsidR="00E2507D" w:rsidRPr="00EF06C0" w:rsidP="00E2507D">
            <w:pPr>
              <w:spacing w:after="0"/>
              <w:rPr>
                <w:rFonts w:eastAsia="Times New Roman" w:cs="Arial"/>
                <w:sz w:val="20"/>
                <w:szCs w:val="20"/>
                <w:lang w:eastAsia="en-GB"/>
              </w:rPr>
            </w:pPr>
            <w:r w:rsidRPr="00EF06C0">
              <w:rPr>
                <w:rFonts w:eastAsia="Times New Roman" w:cs="Arial"/>
                <w:sz w:val="20"/>
                <w:szCs w:val="20"/>
                <w:lang w:eastAsia="en-GB"/>
              </w:rPr>
              <w:t>Externally Funded</w:t>
            </w:r>
          </w:p>
        </w:tc>
        <w:tc>
          <w:tcPr>
            <w:tcW w:w="1261" w:type="dxa"/>
            <w:tcBorders>
              <w:top w:val="nil"/>
              <w:left w:val="single" w:sz="4" w:space="0" w:color="auto"/>
              <w:bottom w:val="single" w:sz="4" w:space="0" w:color="auto"/>
              <w:right w:val="single" w:sz="4" w:space="0" w:color="auto"/>
            </w:tcBorders>
            <w:shd w:val="clear" w:color="000000" w:fill="D9D9D9"/>
            <w:noWrap/>
            <w:vAlign w:val="bottom"/>
            <w:hideMark/>
          </w:tcPr>
          <w:p w:rsidR="00E2507D" w:rsidRPr="00EF06C0" w:rsidP="00E2507D">
            <w:pPr>
              <w:spacing w:after="0"/>
              <w:jc w:val="right"/>
              <w:rPr>
                <w:rFonts w:eastAsia="Times New Roman" w:cs="Arial"/>
                <w:sz w:val="20"/>
                <w:szCs w:val="20"/>
                <w:lang w:eastAsia="en-GB"/>
              </w:rPr>
            </w:pPr>
            <w:r w:rsidRPr="00EF06C0">
              <w:rPr>
                <w:rFonts w:eastAsia="Times New Roman" w:cs="Arial"/>
                <w:sz w:val="20"/>
                <w:szCs w:val="20"/>
                <w:lang w:eastAsia="en-GB"/>
              </w:rPr>
              <w:t xml:space="preserve">-7.178 </w:t>
            </w:r>
          </w:p>
        </w:tc>
        <w:tc>
          <w:tcPr>
            <w:tcW w:w="1495" w:type="dxa"/>
            <w:tcBorders>
              <w:top w:val="nil"/>
              <w:left w:val="nil"/>
              <w:bottom w:val="single" w:sz="4" w:space="0" w:color="auto"/>
              <w:right w:val="single" w:sz="4" w:space="0" w:color="auto"/>
            </w:tcBorders>
            <w:shd w:val="clear" w:color="auto" w:fill="auto"/>
            <w:noWrap/>
            <w:vAlign w:val="bottom"/>
            <w:hideMark/>
          </w:tcPr>
          <w:p w:rsidR="00E2507D" w:rsidRPr="00EF06C0" w:rsidP="00E2507D">
            <w:pPr>
              <w:spacing w:after="0"/>
              <w:jc w:val="right"/>
              <w:rPr>
                <w:rFonts w:eastAsia="Times New Roman" w:cs="Arial"/>
                <w:sz w:val="20"/>
                <w:szCs w:val="20"/>
                <w:lang w:eastAsia="en-GB"/>
              </w:rPr>
            </w:pPr>
            <w:r w:rsidRPr="00EF06C0">
              <w:rPr>
                <w:rFonts w:eastAsia="Times New Roman" w:cs="Arial"/>
                <w:sz w:val="20"/>
                <w:szCs w:val="20"/>
                <w:lang w:eastAsia="en-GB"/>
              </w:rPr>
              <w:t xml:space="preserve">-0.039 </w:t>
            </w:r>
          </w:p>
        </w:tc>
        <w:tc>
          <w:tcPr>
            <w:tcW w:w="1373" w:type="dxa"/>
            <w:tcBorders>
              <w:top w:val="nil"/>
              <w:left w:val="nil"/>
              <w:bottom w:val="single" w:sz="4" w:space="0" w:color="auto"/>
              <w:right w:val="single" w:sz="4" w:space="0" w:color="auto"/>
            </w:tcBorders>
            <w:shd w:val="clear" w:color="auto" w:fill="auto"/>
            <w:noWrap/>
            <w:vAlign w:val="bottom"/>
            <w:hideMark/>
          </w:tcPr>
          <w:p w:rsidR="00E2507D" w:rsidRPr="00EF06C0" w:rsidP="00E2507D">
            <w:pPr>
              <w:spacing w:after="0"/>
              <w:jc w:val="right"/>
              <w:rPr>
                <w:rFonts w:eastAsia="Times New Roman" w:cs="Arial"/>
                <w:sz w:val="20"/>
                <w:szCs w:val="20"/>
                <w:lang w:eastAsia="en-GB"/>
              </w:rPr>
            </w:pPr>
            <w:r w:rsidRPr="00EF06C0">
              <w:rPr>
                <w:rFonts w:eastAsia="Times New Roman" w:cs="Arial"/>
                <w:sz w:val="20"/>
                <w:szCs w:val="20"/>
                <w:lang w:eastAsia="en-GB"/>
              </w:rPr>
              <w:t xml:space="preserve">0.006 </w:t>
            </w:r>
          </w:p>
        </w:tc>
        <w:tc>
          <w:tcPr>
            <w:tcW w:w="1261" w:type="dxa"/>
            <w:tcBorders>
              <w:top w:val="nil"/>
              <w:left w:val="nil"/>
              <w:bottom w:val="single" w:sz="4" w:space="0" w:color="auto"/>
              <w:right w:val="single" w:sz="4" w:space="0" w:color="auto"/>
            </w:tcBorders>
            <w:shd w:val="clear" w:color="auto" w:fill="auto"/>
            <w:noWrap/>
            <w:vAlign w:val="bottom"/>
            <w:hideMark/>
          </w:tcPr>
          <w:p w:rsidR="00E2507D" w:rsidRPr="00EF06C0" w:rsidP="00E2507D">
            <w:pPr>
              <w:spacing w:after="0"/>
              <w:jc w:val="right"/>
              <w:rPr>
                <w:rFonts w:eastAsia="Times New Roman" w:cs="Arial"/>
                <w:sz w:val="20"/>
                <w:szCs w:val="20"/>
                <w:lang w:eastAsia="en-GB"/>
              </w:rPr>
            </w:pPr>
            <w:r w:rsidRPr="00EF06C0">
              <w:rPr>
                <w:rFonts w:eastAsia="Times New Roman" w:cs="Arial"/>
                <w:sz w:val="20"/>
                <w:szCs w:val="20"/>
                <w:lang w:eastAsia="en-GB"/>
              </w:rPr>
              <w:t xml:space="preserve">-7.221 </w:t>
            </w:r>
          </w:p>
        </w:tc>
        <w:tc>
          <w:tcPr>
            <w:tcW w:w="1261" w:type="dxa"/>
            <w:tcBorders>
              <w:top w:val="nil"/>
              <w:left w:val="nil"/>
              <w:bottom w:val="single" w:sz="4" w:space="0" w:color="auto"/>
              <w:right w:val="single" w:sz="4" w:space="0" w:color="auto"/>
            </w:tcBorders>
            <w:shd w:val="clear" w:color="auto" w:fill="auto"/>
            <w:noWrap/>
            <w:vAlign w:val="bottom"/>
            <w:hideMark/>
          </w:tcPr>
          <w:p w:rsidR="00E2507D" w:rsidRPr="00EF06C0" w:rsidP="00E2507D">
            <w:pPr>
              <w:spacing w:after="0"/>
              <w:jc w:val="right"/>
              <w:rPr>
                <w:rFonts w:eastAsia="Times New Roman" w:cs="Arial"/>
                <w:sz w:val="20"/>
                <w:szCs w:val="20"/>
                <w:lang w:eastAsia="en-GB"/>
              </w:rPr>
            </w:pPr>
            <w:r w:rsidRPr="00EF06C0">
              <w:rPr>
                <w:rFonts w:eastAsia="Times New Roman" w:cs="Arial"/>
                <w:sz w:val="20"/>
                <w:szCs w:val="20"/>
                <w:lang w:eastAsia="en-GB"/>
              </w:rPr>
              <w:t xml:space="preserve">0.076 </w:t>
            </w:r>
          </w:p>
        </w:tc>
      </w:tr>
      <w:tr w:rsidTr="00E2507D">
        <w:tblPrEx>
          <w:tblW w:w="8666" w:type="dxa"/>
          <w:tblLook w:val="04A0"/>
        </w:tblPrEx>
        <w:trPr>
          <w:trHeight w:val="222"/>
        </w:trPr>
        <w:tc>
          <w:tcPr>
            <w:tcW w:w="2015" w:type="dxa"/>
            <w:tcBorders>
              <w:top w:val="nil"/>
              <w:left w:val="single" w:sz="4" w:space="0" w:color="auto"/>
              <w:bottom w:val="single" w:sz="4" w:space="0" w:color="auto"/>
              <w:right w:val="nil"/>
            </w:tcBorders>
            <w:shd w:val="clear" w:color="auto" w:fill="auto"/>
            <w:noWrap/>
            <w:vAlign w:val="center"/>
            <w:hideMark/>
          </w:tcPr>
          <w:p w:rsidR="00E2507D" w:rsidRPr="00EF06C0" w:rsidP="00E2507D">
            <w:pPr>
              <w:spacing w:after="0"/>
              <w:rPr>
                <w:rFonts w:eastAsia="Times New Roman" w:cs="Arial"/>
                <w:sz w:val="20"/>
                <w:szCs w:val="20"/>
                <w:lang w:eastAsia="en-GB"/>
              </w:rPr>
            </w:pPr>
            <w:r w:rsidRPr="00EF06C0">
              <w:rPr>
                <w:rFonts w:eastAsia="Times New Roman" w:cs="Arial"/>
                <w:sz w:val="20"/>
                <w:szCs w:val="20"/>
                <w:lang w:eastAsia="en-GB"/>
              </w:rPr>
              <w:t>Waste and Other</w:t>
            </w:r>
          </w:p>
        </w:tc>
        <w:tc>
          <w:tcPr>
            <w:tcW w:w="1261" w:type="dxa"/>
            <w:tcBorders>
              <w:top w:val="nil"/>
              <w:left w:val="single" w:sz="4" w:space="0" w:color="auto"/>
              <w:bottom w:val="single" w:sz="4" w:space="0" w:color="auto"/>
              <w:right w:val="single" w:sz="4" w:space="0" w:color="auto"/>
            </w:tcBorders>
            <w:shd w:val="clear" w:color="000000" w:fill="D9D9D9"/>
            <w:noWrap/>
            <w:vAlign w:val="bottom"/>
            <w:hideMark/>
          </w:tcPr>
          <w:p w:rsidR="00E2507D" w:rsidRPr="00EF06C0" w:rsidP="00E2507D">
            <w:pPr>
              <w:spacing w:after="0"/>
              <w:jc w:val="right"/>
              <w:rPr>
                <w:rFonts w:eastAsia="Times New Roman" w:cs="Arial"/>
                <w:sz w:val="20"/>
                <w:szCs w:val="20"/>
                <w:lang w:eastAsia="en-GB"/>
              </w:rPr>
            </w:pPr>
            <w:r w:rsidRPr="00EF06C0">
              <w:rPr>
                <w:rFonts w:eastAsia="Times New Roman" w:cs="Arial"/>
                <w:sz w:val="20"/>
                <w:szCs w:val="20"/>
                <w:lang w:eastAsia="en-GB"/>
              </w:rPr>
              <w:t xml:space="preserve">-0.590 </w:t>
            </w:r>
          </w:p>
        </w:tc>
        <w:tc>
          <w:tcPr>
            <w:tcW w:w="1495" w:type="dxa"/>
            <w:tcBorders>
              <w:top w:val="nil"/>
              <w:left w:val="nil"/>
              <w:bottom w:val="single" w:sz="4" w:space="0" w:color="auto"/>
              <w:right w:val="single" w:sz="4" w:space="0" w:color="auto"/>
            </w:tcBorders>
            <w:shd w:val="clear" w:color="auto" w:fill="auto"/>
            <w:noWrap/>
            <w:vAlign w:val="bottom"/>
            <w:hideMark/>
          </w:tcPr>
          <w:p w:rsidR="00E2507D" w:rsidRPr="00EF06C0" w:rsidP="00E2507D">
            <w:pPr>
              <w:spacing w:after="0"/>
              <w:jc w:val="right"/>
              <w:rPr>
                <w:rFonts w:eastAsia="Times New Roman" w:cs="Arial"/>
                <w:sz w:val="20"/>
                <w:szCs w:val="20"/>
                <w:lang w:eastAsia="en-GB"/>
              </w:rPr>
            </w:pPr>
            <w:r w:rsidRPr="00EF06C0">
              <w:rPr>
                <w:rFonts w:eastAsia="Times New Roman" w:cs="Arial"/>
                <w:sz w:val="20"/>
                <w:szCs w:val="20"/>
                <w:lang w:eastAsia="en-GB"/>
              </w:rPr>
              <w:t xml:space="preserve">0.000 </w:t>
            </w:r>
          </w:p>
        </w:tc>
        <w:tc>
          <w:tcPr>
            <w:tcW w:w="1373" w:type="dxa"/>
            <w:tcBorders>
              <w:top w:val="nil"/>
              <w:left w:val="nil"/>
              <w:bottom w:val="single" w:sz="4" w:space="0" w:color="auto"/>
              <w:right w:val="single" w:sz="4" w:space="0" w:color="auto"/>
            </w:tcBorders>
            <w:shd w:val="clear" w:color="auto" w:fill="auto"/>
            <w:noWrap/>
            <w:vAlign w:val="bottom"/>
            <w:hideMark/>
          </w:tcPr>
          <w:p w:rsidR="00E2507D" w:rsidRPr="00EF06C0" w:rsidP="00E2507D">
            <w:pPr>
              <w:spacing w:after="0"/>
              <w:jc w:val="right"/>
              <w:rPr>
                <w:rFonts w:eastAsia="Times New Roman" w:cs="Arial"/>
                <w:sz w:val="20"/>
                <w:szCs w:val="20"/>
                <w:lang w:eastAsia="en-GB"/>
              </w:rPr>
            </w:pPr>
            <w:r w:rsidRPr="00EF06C0">
              <w:rPr>
                <w:rFonts w:eastAsia="Times New Roman" w:cs="Arial"/>
                <w:sz w:val="20"/>
                <w:szCs w:val="20"/>
                <w:lang w:eastAsia="en-GB"/>
              </w:rPr>
              <w:t xml:space="preserve">0.000 </w:t>
            </w:r>
          </w:p>
        </w:tc>
        <w:tc>
          <w:tcPr>
            <w:tcW w:w="1261" w:type="dxa"/>
            <w:tcBorders>
              <w:top w:val="nil"/>
              <w:left w:val="nil"/>
              <w:bottom w:val="single" w:sz="4" w:space="0" w:color="auto"/>
              <w:right w:val="single" w:sz="4" w:space="0" w:color="auto"/>
            </w:tcBorders>
            <w:shd w:val="clear" w:color="auto" w:fill="auto"/>
            <w:noWrap/>
            <w:vAlign w:val="bottom"/>
            <w:hideMark/>
          </w:tcPr>
          <w:p w:rsidR="00E2507D" w:rsidRPr="00EF06C0" w:rsidP="00E2507D">
            <w:pPr>
              <w:spacing w:after="0"/>
              <w:jc w:val="right"/>
              <w:rPr>
                <w:rFonts w:eastAsia="Times New Roman" w:cs="Arial"/>
                <w:sz w:val="20"/>
                <w:szCs w:val="20"/>
                <w:lang w:eastAsia="en-GB"/>
              </w:rPr>
            </w:pPr>
            <w:r w:rsidRPr="00EF06C0">
              <w:rPr>
                <w:rFonts w:eastAsia="Times New Roman" w:cs="Arial"/>
                <w:sz w:val="20"/>
                <w:szCs w:val="20"/>
                <w:lang w:eastAsia="en-GB"/>
              </w:rPr>
              <w:t xml:space="preserve">-0.584 </w:t>
            </w:r>
          </w:p>
        </w:tc>
        <w:tc>
          <w:tcPr>
            <w:tcW w:w="1261" w:type="dxa"/>
            <w:tcBorders>
              <w:top w:val="nil"/>
              <w:left w:val="nil"/>
              <w:bottom w:val="single" w:sz="4" w:space="0" w:color="auto"/>
              <w:right w:val="single" w:sz="4" w:space="0" w:color="auto"/>
            </w:tcBorders>
            <w:shd w:val="clear" w:color="auto" w:fill="auto"/>
            <w:noWrap/>
            <w:vAlign w:val="bottom"/>
            <w:hideMark/>
          </w:tcPr>
          <w:p w:rsidR="00E2507D" w:rsidRPr="00EF06C0" w:rsidP="00E2507D">
            <w:pPr>
              <w:spacing w:after="0"/>
              <w:jc w:val="right"/>
              <w:rPr>
                <w:rFonts w:eastAsia="Times New Roman" w:cs="Arial"/>
                <w:sz w:val="20"/>
                <w:szCs w:val="20"/>
                <w:lang w:eastAsia="en-GB"/>
              </w:rPr>
            </w:pPr>
            <w:r w:rsidRPr="00EF06C0">
              <w:rPr>
                <w:rFonts w:eastAsia="Times New Roman" w:cs="Arial"/>
                <w:sz w:val="20"/>
                <w:szCs w:val="20"/>
                <w:lang w:eastAsia="en-GB"/>
              </w:rPr>
              <w:t xml:space="preserve">-0.006 </w:t>
            </w:r>
          </w:p>
        </w:tc>
      </w:tr>
      <w:tr w:rsidTr="00E2507D">
        <w:tblPrEx>
          <w:tblW w:w="8666" w:type="dxa"/>
          <w:tblLook w:val="04A0"/>
        </w:tblPrEx>
        <w:trPr>
          <w:trHeight w:val="222"/>
        </w:trPr>
        <w:tc>
          <w:tcPr>
            <w:tcW w:w="2015" w:type="dxa"/>
            <w:tcBorders>
              <w:top w:val="nil"/>
              <w:left w:val="single" w:sz="4" w:space="0" w:color="auto"/>
              <w:bottom w:val="single" w:sz="4" w:space="0" w:color="auto"/>
              <w:right w:val="nil"/>
            </w:tcBorders>
            <w:shd w:val="clear" w:color="auto" w:fill="auto"/>
            <w:noWrap/>
            <w:vAlign w:val="center"/>
            <w:hideMark/>
          </w:tcPr>
          <w:p w:rsidR="00E2507D" w:rsidRPr="00EF06C0" w:rsidP="00E2507D">
            <w:pPr>
              <w:spacing w:after="0"/>
              <w:rPr>
                <w:rFonts w:eastAsia="Times New Roman" w:cs="Arial"/>
                <w:sz w:val="20"/>
                <w:szCs w:val="20"/>
                <w:lang w:eastAsia="en-GB"/>
              </w:rPr>
            </w:pPr>
            <w:r w:rsidRPr="00EF06C0">
              <w:rPr>
                <w:rFonts w:eastAsia="Times New Roman" w:cs="Arial"/>
                <w:sz w:val="20"/>
                <w:szCs w:val="20"/>
                <w:lang w:eastAsia="en-GB"/>
              </w:rPr>
              <w:t>Adults Social Care</w:t>
            </w:r>
          </w:p>
        </w:tc>
        <w:tc>
          <w:tcPr>
            <w:tcW w:w="1261" w:type="dxa"/>
            <w:tcBorders>
              <w:top w:val="nil"/>
              <w:left w:val="single" w:sz="4" w:space="0" w:color="auto"/>
              <w:bottom w:val="single" w:sz="4" w:space="0" w:color="auto"/>
              <w:right w:val="single" w:sz="4" w:space="0" w:color="auto"/>
            </w:tcBorders>
            <w:shd w:val="clear" w:color="000000" w:fill="D9D9D9"/>
            <w:noWrap/>
            <w:vAlign w:val="bottom"/>
            <w:hideMark/>
          </w:tcPr>
          <w:p w:rsidR="00E2507D" w:rsidRPr="00EF06C0" w:rsidP="00E2507D">
            <w:pPr>
              <w:spacing w:after="0"/>
              <w:jc w:val="right"/>
              <w:rPr>
                <w:rFonts w:eastAsia="Times New Roman" w:cs="Arial"/>
                <w:sz w:val="20"/>
                <w:szCs w:val="20"/>
                <w:lang w:eastAsia="en-GB"/>
              </w:rPr>
            </w:pPr>
            <w:r w:rsidRPr="00EF06C0">
              <w:rPr>
                <w:rFonts w:eastAsia="Times New Roman" w:cs="Arial"/>
                <w:sz w:val="20"/>
                <w:szCs w:val="20"/>
                <w:lang w:eastAsia="en-GB"/>
              </w:rPr>
              <w:t xml:space="preserve">0.482 </w:t>
            </w:r>
          </w:p>
        </w:tc>
        <w:tc>
          <w:tcPr>
            <w:tcW w:w="1495" w:type="dxa"/>
            <w:tcBorders>
              <w:top w:val="nil"/>
              <w:left w:val="nil"/>
              <w:bottom w:val="single" w:sz="4" w:space="0" w:color="auto"/>
              <w:right w:val="single" w:sz="4" w:space="0" w:color="auto"/>
            </w:tcBorders>
            <w:shd w:val="clear" w:color="auto" w:fill="auto"/>
            <w:noWrap/>
            <w:vAlign w:val="bottom"/>
            <w:hideMark/>
          </w:tcPr>
          <w:p w:rsidR="00E2507D" w:rsidRPr="00EF06C0" w:rsidP="00E2507D">
            <w:pPr>
              <w:spacing w:after="0"/>
              <w:jc w:val="right"/>
              <w:rPr>
                <w:rFonts w:eastAsia="Times New Roman" w:cs="Arial"/>
                <w:sz w:val="20"/>
                <w:szCs w:val="20"/>
                <w:lang w:eastAsia="en-GB"/>
              </w:rPr>
            </w:pPr>
            <w:r w:rsidRPr="00EF06C0">
              <w:rPr>
                <w:rFonts w:eastAsia="Times New Roman" w:cs="Arial"/>
                <w:sz w:val="20"/>
                <w:szCs w:val="20"/>
                <w:lang w:eastAsia="en-GB"/>
              </w:rPr>
              <w:t xml:space="preserve">0.000 </w:t>
            </w:r>
          </w:p>
        </w:tc>
        <w:tc>
          <w:tcPr>
            <w:tcW w:w="1373" w:type="dxa"/>
            <w:tcBorders>
              <w:top w:val="nil"/>
              <w:left w:val="nil"/>
              <w:bottom w:val="single" w:sz="4" w:space="0" w:color="auto"/>
              <w:right w:val="single" w:sz="4" w:space="0" w:color="auto"/>
            </w:tcBorders>
            <w:shd w:val="clear" w:color="auto" w:fill="auto"/>
            <w:noWrap/>
            <w:vAlign w:val="bottom"/>
            <w:hideMark/>
          </w:tcPr>
          <w:p w:rsidR="00E2507D" w:rsidRPr="00EF06C0" w:rsidP="00E2507D">
            <w:pPr>
              <w:spacing w:after="0"/>
              <w:jc w:val="right"/>
              <w:rPr>
                <w:rFonts w:eastAsia="Times New Roman" w:cs="Arial"/>
                <w:sz w:val="20"/>
                <w:szCs w:val="20"/>
                <w:lang w:eastAsia="en-GB"/>
              </w:rPr>
            </w:pPr>
            <w:r w:rsidRPr="00EF06C0">
              <w:rPr>
                <w:rFonts w:eastAsia="Times New Roman" w:cs="Arial"/>
                <w:sz w:val="20"/>
                <w:szCs w:val="20"/>
                <w:lang w:eastAsia="en-GB"/>
              </w:rPr>
              <w:t xml:space="preserve">0.000 </w:t>
            </w:r>
          </w:p>
        </w:tc>
        <w:tc>
          <w:tcPr>
            <w:tcW w:w="1261" w:type="dxa"/>
            <w:tcBorders>
              <w:top w:val="nil"/>
              <w:left w:val="nil"/>
              <w:bottom w:val="single" w:sz="4" w:space="0" w:color="auto"/>
              <w:right w:val="single" w:sz="4" w:space="0" w:color="auto"/>
            </w:tcBorders>
            <w:shd w:val="clear" w:color="auto" w:fill="auto"/>
            <w:noWrap/>
            <w:vAlign w:val="bottom"/>
            <w:hideMark/>
          </w:tcPr>
          <w:p w:rsidR="00E2507D" w:rsidRPr="00EF06C0" w:rsidP="00E2507D">
            <w:pPr>
              <w:spacing w:after="0"/>
              <w:jc w:val="right"/>
              <w:rPr>
                <w:rFonts w:eastAsia="Times New Roman" w:cs="Arial"/>
                <w:sz w:val="20"/>
                <w:szCs w:val="20"/>
                <w:lang w:eastAsia="en-GB"/>
              </w:rPr>
            </w:pPr>
            <w:r w:rsidRPr="00EF06C0">
              <w:rPr>
                <w:rFonts w:eastAsia="Times New Roman" w:cs="Arial"/>
                <w:sz w:val="20"/>
                <w:szCs w:val="20"/>
                <w:lang w:eastAsia="en-GB"/>
              </w:rPr>
              <w:t xml:space="preserve">-0.627 </w:t>
            </w:r>
          </w:p>
        </w:tc>
        <w:tc>
          <w:tcPr>
            <w:tcW w:w="1261" w:type="dxa"/>
            <w:tcBorders>
              <w:top w:val="nil"/>
              <w:left w:val="nil"/>
              <w:bottom w:val="single" w:sz="4" w:space="0" w:color="auto"/>
              <w:right w:val="single" w:sz="4" w:space="0" w:color="auto"/>
            </w:tcBorders>
            <w:shd w:val="clear" w:color="auto" w:fill="auto"/>
            <w:noWrap/>
            <w:vAlign w:val="bottom"/>
            <w:hideMark/>
          </w:tcPr>
          <w:p w:rsidR="00E2507D" w:rsidRPr="00EF06C0" w:rsidP="00E2507D">
            <w:pPr>
              <w:spacing w:after="0"/>
              <w:jc w:val="right"/>
              <w:rPr>
                <w:rFonts w:eastAsia="Times New Roman" w:cs="Arial"/>
                <w:sz w:val="20"/>
                <w:szCs w:val="20"/>
                <w:lang w:eastAsia="en-GB"/>
              </w:rPr>
            </w:pPr>
            <w:r w:rsidRPr="00EF06C0">
              <w:rPr>
                <w:rFonts w:eastAsia="Times New Roman" w:cs="Arial"/>
                <w:sz w:val="20"/>
                <w:szCs w:val="20"/>
                <w:lang w:eastAsia="en-GB"/>
              </w:rPr>
              <w:t xml:space="preserve">1.109 </w:t>
            </w:r>
          </w:p>
        </w:tc>
      </w:tr>
      <w:tr w:rsidTr="00E2507D">
        <w:tblPrEx>
          <w:tblW w:w="8666" w:type="dxa"/>
          <w:tblLook w:val="04A0"/>
        </w:tblPrEx>
        <w:trPr>
          <w:trHeight w:val="222"/>
        </w:trPr>
        <w:tc>
          <w:tcPr>
            <w:tcW w:w="2015" w:type="dxa"/>
            <w:tcBorders>
              <w:top w:val="nil"/>
              <w:left w:val="single" w:sz="4" w:space="0" w:color="auto"/>
              <w:bottom w:val="single" w:sz="4" w:space="0" w:color="auto"/>
              <w:right w:val="nil"/>
            </w:tcBorders>
            <w:shd w:val="clear" w:color="auto" w:fill="auto"/>
            <w:noWrap/>
            <w:vAlign w:val="center"/>
            <w:hideMark/>
          </w:tcPr>
          <w:p w:rsidR="00E2507D" w:rsidRPr="00EF06C0" w:rsidP="00E2507D">
            <w:pPr>
              <w:spacing w:after="0"/>
              <w:rPr>
                <w:rFonts w:eastAsia="Times New Roman" w:cs="Arial"/>
                <w:sz w:val="20"/>
                <w:szCs w:val="20"/>
                <w:lang w:eastAsia="en-GB"/>
              </w:rPr>
            </w:pPr>
            <w:r w:rsidRPr="00EF06C0">
              <w:rPr>
                <w:rFonts w:eastAsia="Times New Roman" w:cs="Arial"/>
                <w:sz w:val="20"/>
                <w:szCs w:val="20"/>
                <w:lang w:eastAsia="en-GB"/>
              </w:rPr>
              <w:t xml:space="preserve">Corporate </w:t>
            </w:r>
          </w:p>
        </w:tc>
        <w:tc>
          <w:tcPr>
            <w:tcW w:w="1261" w:type="dxa"/>
            <w:tcBorders>
              <w:top w:val="nil"/>
              <w:left w:val="single" w:sz="4" w:space="0" w:color="auto"/>
              <w:bottom w:val="single" w:sz="4" w:space="0" w:color="auto"/>
              <w:right w:val="single" w:sz="4" w:space="0" w:color="auto"/>
            </w:tcBorders>
            <w:shd w:val="clear" w:color="000000" w:fill="D9D9D9"/>
            <w:noWrap/>
            <w:vAlign w:val="bottom"/>
            <w:hideMark/>
          </w:tcPr>
          <w:p w:rsidR="00E2507D" w:rsidRPr="00EF06C0" w:rsidP="00E2507D">
            <w:pPr>
              <w:spacing w:after="0"/>
              <w:jc w:val="right"/>
              <w:rPr>
                <w:rFonts w:eastAsia="Times New Roman" w:cs="Arial"/>
                <w:sz w:val="20"/>
                <w:szCs w:val="20"/>
                <w:lang w:eastAsia="en-GB"/>
              </w:rPr>
            </w:pPr>
            <w:r w:rsidRPr="00EF06C0">
              <w:rPr>
                <w:rFonts w:eastAsia="Times New Roman" w:cs="Arial"/>
                <w:sz w:val="20"/>
                <w:szCs w:val="20"/>
                <w:lang w:eastAsia="en-GB"/>
              </w:rPr>
              <w:t xml:space="preserve">-6.034 </w:t>
            </w:r>
          </w:p>
        </w:tc>
        <w:tc>
          <w:tcPr>
            <w:tcW w:w="1495" w:type="dxa"/>
            <w:tcBorders>
              <w:top w:val="nil"/>
              <w:left w:val="nil"/>
              <w:bottom w:val="single" w:sz="4" w:space="0" w:color="auto"/>
              <w:right w:val="single" w:sz="4" w:space="0" w:color="auto"/>
            </w:tcBorders>
            <w:shd w:val="clear" w:color="auto" w:fill="auto"/>
            <w:noWrap/>
            <w:vAlign w:val="bottom"/>
            <w:hideMark/>
          </w:tcPr>
          <w:p w:rsidR="00E2507D" w:rsidRPr="00EF06C0" w:rsidP="00E2507D">
            <w:pPr>
              <w:spacing w:after="0"/>
              <w:jc w:val="right"/>
              <w:rPr>
                <w:rFonts w:eastAsia="Times New Roman" w:cs="Arial"/>
                <w:sz w:val="20"/>
                <w:szCs w:val="20"/>
                <w:lang w:eastAsia="en-GB"/>
              </w:rPr>
            </w:pPr>
            <w:r w:rsidRPr="00EF06C0">
              <w:rPr>
                <w:rFonts w:eastAsia="Times New Roman" w:cs="Arial"/>
                <w:sz w:val="20"/>
                <w:szCs w:val="20"/>
                <w:lang w:eastAsia="en-GB"/>
              </w:rPr>
              <w:t xml:space="preserve">-0.821 </w:t>
            </w:r>
          </w:p>
        </w:tc>
        <w:tc>
          <w:tcPr>
            <w:tcW w:w="1373" w:type="dxa"/>
            <w:tcBorders>
              <w:top w:val="nil"/>
              <w:left w:val="nil"/>
              <w:bottom w:val="single" w:sz="4" w:space="0" w:color="auto"/>
              <w:right w:val="single" w:sz="4" w:space="0" w:color="auto"/>
            </w:tcBorders>
            <w:shd w:val="clear" w:color="auto" w:fill="auto"/>
            <w:noWrap/>
            <w:vAlign w:val="bottom"/>
            <w:hideMark/>
          </w:tcPr>
          <w:p w:rsidR="00E2507D" w:rsidRPr="00EF06C0" w:rsidP="00E2507D">
            <w:pPr>
              <w:spacing w:after="0"/>
              <w:jc w:val="right"/>
              <w:rPr>
                <w:rFonts w:eastAsia="Times New Roman" w:cs="Arial"/>
                <w:sz w:val="20"/>
                <w:szCs w:val="20"/>
                <w:lang w:eastAsia="en-GB"/>
              </w:rPr>
            </w:pPr>
            <w:r w:rsidRPr="00EF06C0">
              <w:rPr>
                <w:rFonts w:eastAsia="Times New Roman" w:cs="Arial"/>
                <w:sz w:val="20"/>
                <w:szCs w:val="20"/>
                <w:lang w:eastAsia="en-GB"/>
              </w:rPr>
              <w:t xml:space="preserve">0.027 </w:t>
            </w:r>
          </w:p>
        </w:tc>
        <w:tc>
          <w:tcPr>
            <w:tcW w:w="1261" w:type="dxa"/>
            <w:tcBorders>
              <w:top w:val="nil"/>
              <w:left w:val="nil"/>
              <w:bottom w:val="single" w:sz="4" w:space="0" w:color="auto"/>
              <w:right w:val="single" w:sz="4" w:space="0" w:color="auto"/>
            </w:tcBorders>
            <w:shd w:val="clear" w:color="auto" w:fill="auto"/>
            <w:noWrap/>
            <w:vAlign w:val="bottom"/>
            <w:hideMark/>
          </w:tcPr>
          <w:p w:rsidR="00E2507D" w:rsidRPr="00EF06C0" w:rsidP="00E2507D">
            <w:pPr>
              <w:spacing w:after="0"/>
              <w:jc w:val="right"/>
              <w:rPr>
                <w:rFonts w:eastAsia="Times New Roman" w:cs="Arial"/>
                <w:sz w:val="20"/>
                <w:szCs w:val="20"/>
                <w:lang w:eastAsia="en-GB"/>
              </w:rPr>
            </w:pPr>
            <w:r w:rsidRPr="00EF06C0">
              <w:rPr>
                <w:rFonts w:eastAsia="Times New Roman" w:cs="Arial"/>
                <w:sz w:val="20"/>
                <w:szCs w:val="20"/>
                <w:lang w:eastAsia="en-GB"/>
              </w:rPr>
              <w:t xml:space="preserve">-7.762 </w:t>
            </w:r>
          </w:p>
        </w:tc>
        <w:tc>
          <w:tcPr>
            <w:tcW w:w="1261" w:type="dxa"/>
            <w:tcBorders>
              <w:top w:val="nil"/>
              <w:left w:val="nil"/>
              <w:bottom w:val="single" w:sz="4" w:space="0" w:color="auto"/>
              <w:right w:val="single" w:sz="4" w:space="0" w:color="auto"/>
            </w:tcBorders>
            <w:shd w:val="clear" w:color="auto" w:fill="auto"/>
            <w:noWrap/>
            <w:vAlign w:val="bottom"/>
            <w:hideMark/>
          </w:tcPr>
          <w:p w:rsidR="00E2507D" w:rsidRPr="00EF06C0" w:rsidP="00E2507D">
            <w:pPr>
              <w:spacing w:after="0"/>
              <w:jc w:val="right"/>
              <w:rPr>
                <w:rFonts w:eastAsia="Times New Roman" w:cs="Arial"/>
                <w:sz w:val="20"/>
                <w:szCs w:val="20"/>
                <w:lang w:eastAsia="en-GB"/>
              </w:rPr>
            </w:pPr>
            <w:r w:rsidRPr="00EF06C0">
              <w:rPr>
                <w:rFonts w:eastAsia="Times New Roman" w:cs="Arial"/>
                <w:sz w:val="20"/>
                <w:szCs w:val="20"/>
                <w:lang w:eastAsia="en-GB"/>
              </w:rPr>
              <w:t xml:space="preserve">2.522 </w:t>
            </w:r>
          </w:p>
        </w:tc>
      </w:tr>
      <w:tr w:rsidTr="00E2507D">
        <w:tblPrEx>
          <w:tblW w:w="8666" w:type="dxa"/>
          <w:tblLook w:val="04A0"/>
        </w:tblPrEx>
        <w:trPr>
          <w:trHeight w:val="222"/>
        </w:trPr>
        <w:tc>
          <w:tcPr>
            <w:tcW w:w="2015" w:type="dxa"/>
            <w:tcBorders>
              <w:top w:val="nil"/>
              <w:left w:val="single" w:sz="4" w:space="0" w:color="auto"/>
              <w:bottom w:val="single" w:sz="4" w:space="0" w:color="auto"/>
              <w:right w:val="nil"/>
            </w:tcBorders>
            <w:shd w:val="clear" w:color="auto" w:fill="auto"/>
            <w:noWrap/>
            <w:vAlign w:val="center"/>
            <w:hideMark/>
          </w:tcPr>
          <w:p w:rsidR="00E2507D" w:rsidRPr="00EF06C0" w:rsidP="00E2507D">
            <w:pPr>
              <w:spacing w:after="0"/>
              <w:rPr>
                <w:rFonts w:eastAsia="Times New Roman" w:cs="Arial"/>
                <w:sz w:val="20"/>
                <w:szCs w:val="20"/>
                <w:lang w:eastAsia="en-GB"/>
              </w:rPr>
            </w:pPr>
            <w:r w:rsidRPr="00EF06C0">
              <w:rPr>
                <w:rFonts w:eastAsia="Times New Roman" w:cs="Arial"/>
                <w:sz w:val="20"/>
                <w:szCs w:val="20"/>
                <w:lang w:eastAsia="en-GB"/>
              </w:rPr>
              <w:t>Vehicles</w:t>
            </w:r>
          </w:p>
        </w:tc>
        <w:tc>
          <w:tcPr>
            <w:tcW w:w="1261" w:type="dxa"/>
            <w:tcBorders>
              <w:top w:val="nil"/>
              <w:left w:val="single" w:sz="4" w:space="0" w:color="auto"/>
              <w:bottom w:val="single" w:sz="4" w:space="0" w:color="auto"/>
              <w:right w:val="single" w:sz="4" w:space="0" w:color="auto"/>
            </w:tcBorders>
            <w:shd w:val="clear" w:color="000000" w:fill="D9D9D9"/>
            <w:noWrap/>
            <w:vAlign w:val="bottom"/>
            <w:hideMark/>
          </w:tcPr>
          <w:p w:rsidR="00E2507D" w:rsidRPr="00EF06C0" w:rsidP="00E2507D">
            <w:pPr>
              <w:spacing w:after="0"/>
              <w:jc w:val="right"/>
              <w:rPr>
                <w:rFonts w:eastAsia="Times New Roman" w:cs="Arial"/>
                <w:sz w:val="20"/>
                <w:szCs w:val="20"/>
                <w:lang w:eastAsia="en-GB"/>
              </w:rPr>
            </w:pPr>
            <w:r w:rsidRPr="00EF06C0">
              <w:rPr>
                <w:rFonts w:eastAsia="Times New Roman" w:cs="Arial"/>
                <w:sz w:val="20"/>
                <w:szCs w:val="20"/>
                <w:lang w:eastAsia="en-GB"/>
              </w:rPr>
              <w:t xml:space="preserve">-0.396 </w:t>
            </w:r>
          </w:p>
        </w:tc>
        <w:tc>
          <w:tcPr>
            <w:tcW w:w="1495" w:type="dxa"/>
            <w:tcBorders>
              <w:top w:val="nil"/>
              <w:left w:val="nil"/>
              <w:bottom w:val="single" w:sz="4" w:space="0" w:color="auto"/>
              <w:right w:val="single" w:sz="4" w:space="0" w:color="auto"/>
            </w:tcBorders>
            <w:shd w:val="clear" w:color="auto" w:fill="auto"/>
            <w:noWrap/>
            <w:vAlign w:val="bottom"/>
            <w:hideMark/>
          </w:tcPr>
          <w:p w:rsidR="00E2507D" w:rsidRPr="00EF06C0" w:rsidP="00E2507D">
            <w:pPr>
              <w:spacing w:after="0"/>
              <w:jc w:val="right"/>
              <w:rPr>
                <w:rFonts w:eastAsia="Times New Roman" w:cs="Arial"/>
                <w:sz w:val="20"/>
                <w:szCs w:val="20"/>
                <w:lang w:eastAsia="en-GB"/>
              </w:rPr>
            </w:pPr>
            <w:r w:rsidRPr="00EF06C0">
              <w:rPr>
                <w:rFonts w:eastAsia="Times New Roman" w:cs="Arial"/>
                <w:sz w:val="20"/>
                <w:szCs w:val="20"/>
                <w:lang w:eastAsia="en-GB"/>
              </w:rPr>
              <w:t xml:space="preserve">0.000 </w:t>
            </w:r>
          </w:p>
        </w:tc>
        <w:tc>
          <w:tcPr>
            <w:tcW w:w="1373" w:type="dxa"/>
            <w:tcBorders>
              <w:top w:val="nil"/>
              <w:left w:val="nil"/>
              <w:bottom w:val="single" w:sz="4" w:space="0" w:color="auto"/>
              <w:right w:val="single" w:sz="4" w:space="0" w:color="auto"/>
            </w:tcBorders>
            <w:shd w:val="clear" w:color="auto" w:fill="auto"/>
            <w:noWrap/>
            <w:vAlign w:val="bottom"/>
            <w:hideMark/>
          </w:tcPr>
          <w:p w:rsidR="00E2507D" w:rsidRPr="00EF06C0" w:rsidP="00E2507D">
            <w:pPr>
              <w:spacing w:after="0"/>
              <w:jc w:val="right"/>
              <w:rPr>
                <w:rFonts w:eastAsia="Times New Roman" w:cs="Arial"/>
                <w:sz w:val="20"/>
                <w:szCs w:val="20"/>
                <w:lang w:eastAsia="en-GB"/>
              </w:rPr>
            </w:pPr>
            <w:r w:rsidRPr="00EF06C0">
              <w:rPr>
                <w:rFonts w:eastAsia="Times New Roman" w:cs="Arial"/>
                <w:sz w:val="20"/>
                <w:szCs w:val="20"/>
                <w:lang w:eastAsia="en-GB"/>
              </w:rPr>
              <w:t xml:space="preserve">0.000 </w:t>
            </w:r>
          </w:p>
        </w:tc>
        <w:tc>
          <w:tcPr>
            <w:tcW w:w="1261" w:type="dxa"/>
            <w:tcBorders>
              <w:top w:val="nil"/>
              <w:left w:val="nil"/>
              <w:bottom w:val="single" w:sz="4" w:space="0" w:color="auto"/>
              <w:right w:val="single" w:sz="4" w:space="0" w:color="auto"/>
            </w:tcBorders>
            <w:shd w:val="clear" w:color="auto" w:fill="auto"/>
            <w:noWrap/>
            <w:vAlign w:val="bottom"/>
            <w:hideMark/>
          </w:tcPr>
          <w:p w:rsidR="00E2507D" w:rsidRPr="00EF06C0" w:rsidP="00E2507D">
            <w:pPr>
              <w:spacing w:after="0"/>
              <w:jc w:val="right"/>
              <w:rPr>
                <w:rFonts w:eastAsia="Times New Roman" w:cs="Arial"/>
                <w:sz w:val="20"/>
                <w:szCs w:val="20"/>
                <w:lang w:eastAsia="en-GB"/>
              </w:rPr>
            </w:pPr>
            <w:r w:rsidRPr="00EF06C0">
              <w:rPr>
                <w:rFonts w:eastAsia="Times New Roman" w:cs="Arial"/>
                <w:sz w:val="20"/>
                <w:szCs w:val="20"/>
                <w:lang w:eastAsia="en-GB"/>
              </w:rPr>
              <w:t xml:space="preserve">-0.396 </w:t>
            </w:r>
          </w:p>
        </w:tc>
        <w:tc>
          <w:tcPr>
            <w:tcW w:w="1261" w:type="dxa"/>
            <w:tcBorders>
              <w:top w:val="nil"/>
              <w:left w:val="nil"/>
              <w:bottom w:val="single" w:sz="4" w:space="0" w:color="auto"/>
              <w:right w:val="single" w:sz="4" w:space="0" w:color="auto"/>
            </w:tcBorders>
            <w:shd w:val="clear" w:color="auto" w:fill="auto"/>
            <w:noWrap/>
            <w:vAlign w:val="bottom"/>
            <w:hideMark/>
          </w:tcPr>
          <w:p w:rsidR="00E2507D" w:rsidRPr="00EF06C0" w:rsidP="00E2507D">
            <w:pPr>
              <w:spacing w:after="0"/>
              <w:jc w:val="right"/>
              <w:rPr>
                <w:rFonts w:eastAsia="Times New Roman" w:cs="Arial"/>
                <w:sz w:val="20"/>
                <w:szCs w:val="20"/>
                <w:lang w:eastAsia="en-GB"/>
              </w:rPr>
            </w:pPr>
            <w:r w:rsidRPr="00EF06C0">
              <w:rPr>
                <w:rFonts w:eastAsia="Times New Roman" w:cs="Arial"/>
                <w:sz w:val="20"/>
                <w:szCs w:val="20"/>
                <w:lang w:eastAsia="en-GB"/>
              </w:rPr>
              <w:t xml:space="preserve">0.000 </w:t>
            </w:r>
          </w:p>
        </w:tc>
      </w:tr>
      <w:tr w:rsidTr="00E2507D">
        <w:tblPrEx>
          <w:tblW w:w="8666" w:type="dxa"/>
          <w:tblLook w:val="04A0"/>
        </w:tblPrEx>
        <w:trPr>
          <w:trHeight w:val="222"/>
        </w:trPr>
        <w:tc>
          <w:tcPr>
            <w:tcW w:w="2015" w:type="dxa"/>
            <w:tcBorders>
              <w:top w:val="nil"/>
              <w:left w:val="single" w:sz="4" w:space="0" w:color="auto"/>
              <w:bottom w:val="single" w:sz="4" w:space="0" w:color="auto"/>
              <w:right w:val="nil"/>
            </w:tcBorders>
            <w:shd w:val="clear" w:color="auto" w:fill="auto"/>
            <w:noWrap/>
            <w:vAlign w:val="center"/>
            <w:hideMark/>
          </w:tcPr>
          <w:p w:rsidR="00E2507D" w:rsidRPr="00EF06C0" w:rsidP="00E2507D">
            <w:pPr>
              <w:spacing w:after="0"/>
              <w:rPr>
                <w:rFonts w:eastAsia="Times New Roman" w:cs="Arial"/>
                <w:sz w:val="20"/>
                <w:szCs w:val="20"/>
                <w:lang w:eastAsia="en-GB"/>
              </w:rPr>
            </w:pPr>
            <w:r w:rsidRPr="00EF06C0">
              <w:rPr>
                <w:rFonts w:eastAsia="Times New Roman" w:cs="Arial"/>
                <w:sz w:val="20"/>
                <w:szCs w:val="20"/>
                <w:lang w:eastAsia="en-GB"/>
              </w:rPr>
              <w:t>Transforming Cities Fund</w:t>
            </w:r>
          </w:p>
        </w:tc>
        <w:tc>
          <w:tcPr>
            <w:tcW w:w="1261" w:type="dxa"/>
            <w:tcBorders>
              <w:top w:val="nil"/>
              <w:left w:val="single" w:sz="4" w:space="0" w:color="auto"/>
              <w:bottom w:val="single" w:sz="4" w:space="0" w:color="auto"/>
              <w:right w:val="single" w:sz="4" w:space="0" w:color="auto"/>
            </w:tcBorders>
            <w:shd w:val="clear" w:color="000000" w:fill="D9D9D9"/>
            <w:noWrap/>
            <w:vAlign w:val="bottom"/>
            <w:hideMark/>
          </w:tcPr>
          <w:p w:rsidR="00E2507D" w:rsidRPr="00EF06C0" w:rsidP="00E2507D">
            <w:pPr>
              <w:spacing w:after="0"/>
              <w:jc w:val="right"/>
              <w:rPr>
                <w:rFonts w:eastAsia="Times New Roman" w:cs="Arial"/>
                <w:sz w:val="20"/>
                <w:szCs w:val="20"/>
                <w:lang w:eastAsia="en-GB"/>
              </w:rPr>
            </w:pPr>
            <w:r w:rsidRPr="00EF06C0">
              <w:rPr>
                <w:rFonts w:eastAsia="Times New Roman" w:cs="Arial"/>
                <w:sz w:val="20"/>
                <w:szCs w:val="20"/>
                <w:lang w:eastAsia="en-GB"/>
              </w:rPr>
              <w:t xml:space="preserve">0.362 </w:t>
            </w:r>
          </w:p>
        </w:tc>
        <w:tc>
          <w:tcPr>
            <w:tcW w:w="1495" w:type="dxa"/>
            <w:tcBorders>
              <w:top w:val="nil"/>
              <w:left w:val="nil"/>
              <w:bottom w:val="single" w:sz="4" w:space="0" w:color="auto"/>
              <w:right w:val="single" w:sz="4" w:space="0" w:color="auto"/>
            </w:tcBorders>
            <w:shd w:val="clear" w:color="auto" w:fill="auto"/>
            <w:noWrap/>
            <w:vAlign w:val="bottom"/>
            <w:hideMark/>
          </w:tcPr>
          <w:p w:rsidR="00E2507D" w:rsidRPr="00EF06C0" w:rsidP="00E2507D">
            <w:pPr>
              <w:spacing w:after="0"/>
              <w:jc w:val="right"/>
              <w:rPr>
                <w:rFonts w:eastAsia="Times New Roman" w:cs="Arial"/>
                <w:sz w:val="20"/>
                <w:szCs w:val="20"/>
                <w:lang w:eastAsia="en-GB"/>
              </w:rPr>
            </w:pPr>
            <w:r w:rsidRPr="00EF06C0">
              <w:rPr>
                <w:rFonts w:eastAsia="Times New Roman" w:cs="Arial"/>
                <w:sz w:val="20"/>
                <w:szCs w:val="20"/>
                <w:lang w:eastAsia="en-GB"/>
              </w:rPr>
              <w:t xml:space="preserve">0.000 </w:t>
            </w:r>
          </w:p>
        </w:tc>
        <w:tc>
          <w:tcPr>
            <w:tcW w:w="1373" w:type="dxa"/>
            <w:tcBorders>
              <w:top w:val="nil"/>
              <w:left w:val="nil"/>
              <w:bottom w:val="single" w:sz="4" w:space="0" w:color="auto"/>
              <w:right w:val="single" w:sz="4" w:space="0" w:color="auto"/>
            </w:tcBorders>
            <w:shd w:val="clear" w:color="auto" w:fill="auto"/>
            <w:noWrap/>
            <w:vAlign w:val="bottom"/>
            <w:hideMark/>
          </w:tcPr>
          <w:p w:rsidR="00E2507D" w:rsidRPr="00EF06C0" w:rsidP="00E2507D">
            <w:pPr>
              <w:spacing w:after="0"/>
              <w:jc w:val="right"/>
              <w:rPr>
                <w:rFonts w:eastAsia="Times New Roman" w:cs="Arial"/>
                <w:sz w:val="20"/>
                <w:szCs w:val="20"/>
                <w:lang w:eastAsia="en-GB"/>
              </w:rPr>
            </w:pPr>
            <w:r w:rsidRPr="00EF06C0">
              <w:rPr>
                <w:rFonts w:eastAsia="Times New Roman" w:cs="Arial"/>
                <w:sz w:val="20"/>
                <w:szCs w:val="20"/>
                <w:lang w:eastAsia="en-GB"/>
              </w:rPr>
              <w:t xml:space="preserve">0.000 </w:t>
            </w:r>
          </w:p>
        </w:tc>
        <w:tc>
          <w:tcPr>
            <w:tcW w:w="1261" w:type="dxa"/>
            <w:tcBorders>
              <w:top w:val="nil"/>
              <w:left w:val="nil"/>
              <w:bottom w:val="single" w:sz="4" w:space="0" w:color="auto"/>
              <w:right w:val="single" w:sz="4" w:space="0" w:color="auto"/>
            </w:tcBorders>
            <w:shd w:val="clear" w:color="auto" w:fill="auto"/>
            <w:noWrap/>
            <w:vAlign w:val="bottom"/>
            <w:hideMark/>
          </w:tcPr>
          <w:p w:rsidR="00E2507D" w:rsidRPr="00EF06C0" w:rsidP="00E2507D">
            <w:pPr>
              <w:spacing w:after="0"/>
              <w:jc w:val="right"/>
              <w:rPr>
                <w:rFonts w:eastAsia="Times New Roman" w:cs="Arial"/>
                <w:sz w:val="20"/>
                <w:szCs w:val="20"/>
                <w:lang w:eastAsia="en-GB"/>
              </w:rPr>
            </w:pPr>
            <w:r w:rsidRPr="00EF06C0">
              <w:rPr>
                <w:rFonts w:eastAsia="Times New Roman" w:cs="Arial"/>
                <w:sz w:val="20"/>
                <w:szCs w:val="20"/>
                <w:lang w:eastAsia="en-GB"/>
              </w:rPr>
              <w:t xml:space="preserve">0.000 </w:t>
            </w:r>
          </w:p>
        </w:tc>
        <w:tc>
          <w:tcPr>
            <w:tcW w:w="1261" w:type="dxa"/>
            <w:tcBorders>
              <w:top w:val="nil"/>
              <w:left w:val="nil"/>
              <w:bottom w:val="single" w:sz="4" w:space="0" w:color="auto"/>
              <w:right w:val="single" w:sz="4" w:space="0" w:color="auto"/>
            </w:tcBorders>
            <w:shd w:val="clear" w:color="auto" w:fill="auto"/>
            <w:noWrap/>
            <w:vAlign w:val="bottom"/>
            <w:hideMark/>
          </w:tcPr>
          <w:p w:rsidR="00E2507D" w:rsidRPr="00EF06C0" w:rsidP="00E2507D">
            <w:pPr>
              <w:spacing w:after="0"/>
              <w:jc w:val="right"/>
              <w:rPr>
                <w:rFonts w:eastAsia="Times New Roman" w:cs="Arial"/>
                <w:sz w:val="20"/>
                <w:szCs w:val="20"/>
                <w:lang w:eastAsia="en-GB"/>
              </w:rPr>
            </w:pPr>
            <w:r w:rsidRPr="00EF06C0">
              <w:rPr>
                <w:rFonts w:eastAsia="Times New Roman" w:cs="Arial"/>
                <w:sz w:val="20"/>
                <w:szCs w:val="20"/>
                <w:lang w:eastAsia="en-GB"/>
              </w:rPr>
              <w:t xml:space="preserve">0.362 </w:t>
            </w:r>
          </w:p>
        </w:tc>
      </w:tr>
      <w:tr w:rsidTr="00E2507D">
        <w:tblPrEx>
          <w:tblW w:w="8666" w:type="dxa"/>
          <w:tblLook w:val="04A0"/>
        </w:tblPrEx>
        <w:trPr>
          <w:trHeight w:val="222"/>
        </w:trPr>
        <w:tc>
          <w:tcPr>
            <w:tcW w:w="2015" w:type="dxa"/>
            <w:tcBorders>
              <w:top w:val="nil"/>
              <w:left w:val="single" w:sz="4" w:space="0" w:color="auto"/>
              <w:bottom w:val="single" w:sz="4" w:space="0" w:color="auto"/>
              <w:right w:val="single" w:sz="4" w:space="0" w:color="auto"/>
            </w:tcBorders>
            <w:shd w:val="clear" w:color="auto" w:fill="auto"/>
            <w:noWrap/>
            <w:vAlign w:val="center"/>
            <w:hideMark/>
          </w:tcPr>
          <w:p w:rsidR="00E2507D" w:rsidRPr="00EF06C0" w:rsidP="00E2507D">
            <w:pPr>
              <w:spacing w:after="0"/>
              <w:rPr>
                <w:rFonts w:eastAsia="Times New Roman" w:cs="Arial"/>
                <w:b/>
                <w:bCs/>
                <w:sz w:val="20"/>
                <w:szCs w:val="20"/>
                <w:lang w:eastAsia="en-GB"/>
              </w:rPr>
            </w:pPr>
            <w:r w:rsidRPr="00EF06C0">
              <w:rPr>
                <w:rFonts w:eastAsia="Times New Roman" w:cs="Arial"/>
                <w:b/>
                <w:bCs/>
                <w:sz w:val="20"/>
                <w:szCs w:val="20"/>
                <w:lang w:eastAsia="en-GB"/>
              </w:rPr>
              <w:t>Totals</w:t>
            </w:r>
          </w:p>
        </w:tc>
        <w:tc>
          <w:tcPr>
            <w:tcW w:w="1261" w:type="dxa"/>
            <w:tcBorders>
              <w:top w:val="nil"/>
              <w:left w:val="nil"/>
              <w:bottom w:val="single" w:sz="4" w:space="0" w:color="auto"/>
              <w:right w:val="single" w:sz="4" w:space="0" w:color="auto"/>
            </w:tcBorders>
            <w:shd w:val="clear" w:color="000000" w:fill="D9D9D9"/>
            <w:noWrap/>
            <w:vAlign w:val="bottom"/>
            <w:hideMark/>
          </w:tcPr>
          <w:p w:rsidR="00E2507D" w:rsidRPr="00EF06C0" w:rsidP="00E2507D">
            <w:pPr>
              <w:spacing w:after="0"/>
              <w:jc w:val="right"/>
              <w:rPr>
                <w:rFonts w:eastAsia="Times New Roman" w:cs="Arial"/>
                <w:b/>
                <w:bCs/>
                <w:sz w:val="20"/>
                <w:szCs w:val="20"/>
                <w:lang w:eastAsia="en-GB"/>
              </w:rPr>
            </w:pPr>
            <w:r w:rsidRPr="00EF06C0">
              <w:rPr>
                <w:rFonts w:eastAsia="Times New Roman" w:cs="Arial"/>
                <w:b/>
                <w:bCs/>
                <w:sz w:val="20"/>
                <w:szCs w:val="20"/>
                <w:lang w:eastAsia="en-GB"/>
              </w:rPr>
              <w:t xml:space="preserve">-32.814 </w:t>
            </w:r>
          </w:p>
        </w:tc>
        <w:tc>
          <w:tcPr>
            <w:tcW w:w="1495" w:type="dxa"/>
            <w:tcBorders>
              <w:top w:val="nil"/>
              <w:left w:val="nil"/>
              <w:bottom w:val="single" w:sz="4" w:space="0" w:color="auto"/>
              <w:right w:val="single" w:sz="4" w:space="0" w:color="auto"/>
            </w:tcBorders>
            <w:shd w:val="clear" w:color="auto" w:fill="auto"/>
            <w:noWrap/>
            <w:vAlign w:val="bottom"/>
            <w:hideMark/>
          </w:tcPr>
          <w:p w:rsidR="00E2507D" w:rsidRPr="00EF06C0" w:rsidP="00E2507D">
            <w:pPr>
              <w:spacing w:after="0"/>
              <w:jc w:val="right"/>
              <w:rPr>
                <w:rFonts w:eastAsia="Times New Roman" w:cs="Arial"/>
                <w:b/>
                <w:bCs/>
                <w:sz w:val="20"/>
                <w:szCs w:val="20"/>
                <w:lang w:eastAsia="en-GB"/>
              </w:rPr>
            </w:pPr>
            <w:r w:rsidRPr="00EF06C0">
              <w:rPr>
                <w:rFonts w:eastAsia="Times New Roman" w:cs="Arial"/>
                <w:b/>
                <w:bCs/>
                <w:sz w:val="20"/>
                <w:szCs w:val="20"/>
                <w:lang w:eastAsia="en-GB"/>
              </w:rPr>
              <w:t xml:space="preserve">-1.790 </w:t>
            </w:r>
          </w:p>
        </w:tc>
        <w:tc>
          <w:tcPr>
            <w:tcW w:w="1373" w:type="dxa"/>
            <w:tcBorders>
              <w:top w:val="nil"/>
              <w:left w:val="nil"/>
              <w:bottom w:val="single" w:sz="4" w:space="0" w:color="auto"/>
              <w:right w:val="single" w:sz="4" w:space="0" w:color="auto"/>
            </w:tcBorders>
            <w:shd w:val="clear" w:color="auto" w:fill="auto"/>
            <w:noWrap/>
            <w:vAlign w:val="bottom"/>
            <w:hideMark/>
          </w:tcPr>
          <w:p w:rsidR="00E2507D" w:rsidRPr="00EF06C0" w:rsidP="00E2507D">
            <w:pPr>
              <w:spacing w:after="0"/>
              <w:jc w:val="right"/>
              <w:rPr>
                <w:rFonts w:eastAsia="Times New Roman" w:cs="Arial"/>
                <w:b/>
                <w:bCs/>
                <w:sz w:val="20"/>
                <w:szCs w:val="20"/>
                <w:lang w:eastAsia="en-GB"/>
              </w:rPr>
            </w:pPr>
            <w:r w:rsidRPr="00EF06C0">
              <w:rPr>
                <w:rFonts w:eastAsia="Times New Roman" w:cs="Arial"/>
                <w:b/>
                <w:bCs/>
                <w:sz w:val="20"/>
                <w:szCs w:val="20"/>
                <w:lang w:eastAsia="en-GB"/>
              </w:rPr>
              <w:t xml:space="preserve">2.881 </w:t>
            </w:r>
          </w:p>
        </w:tc>
        <w:tc>
          <w:tcPr>
            <w:tcW w:w="1261" w:type="dxa"/>
            <w:tcBorders>
              <w:top w:val="nil"/>
              <w:left w:val="nil"/>
              <w:bottom w:val="single" w:sz="4" w:space="0" w:color="auto"/>
              <w:right w:val="single" w:sz="4" w:space="0" w:color="auto"/>
            </w:tcBorders>
            <w:shd w:val="clear" w:color="auto" w:fill="auto"/>
            <w:noWrap/>
            <w:vAlign w:val="bottom"/>
            <w:hideMark/>
          </w:tcPr>
          <w:p w:rsidR="00E2507D" w:rsidRPr="00EF06C0" w:rsidP="00E2507D">
            <w:pPr>
              <w:spacing w:after="0"/>
              <w:jc w:val="right"/>
              <w:rPr>
                <w:rFonts w:eastAsia="Times New Roman" w:cs="Arial"/>
                <w:b/>
                <w:bCs/>
                <w:sz w:val="20"/>
                <w:szCs w:val="20"/>
                <w:lang w:eastAsia="en-GB"/>
              </w:rPr>
            </w:pPr>
            <w:r w:rsidRPr="00EF06C0">
              <w:rPr>
                <w:rFonts w:eastAsia="Times New Roman" w:cs="Arial"/>
                <w:b/>
                <w:bCs/>
                <w:sz w:val="20"/>
                <w:szCs w:val="20"/>
                <w:lang w:eastAsia="en-GB"/>
              </w:rPr>
              <w:t xml:space="preserve">-47.127 </w:t>
            </w:r>
          </w:p>
        </w:tc>
        <w:tc>
          <w:tcPr>
            <w:tcW w:w="1261" w:type="dxa"/>
            <w:tcBorders>
              <w:top w:val="nil"/>
              <w:left w:val="nil"/>
              <w:bottom w:val="single" w:sz="4" w:space="0" w:color="auto"/>
              <w:right w:val="single" w:sz="4" w:space="0" w:color="auto"/>
            </w:tcBorders>
            <w:shd w:val="clear" w:color="auto" w:fill="auto"/>
            <w:noWrap/>
            <w:vAlign w:val="bottom"/>
            <w:hideMark/>
          </w:tcPr>
          <w:p w:rsidR="00E2507D" w:rsidRPr="00EF06C0" w:rsidP="00E2507D">
            <w:pPr>
              <w:spacing w:after="0"/>
              <w:jc w:val="right"/>
              <w:rPr>
                <w:rFonts w:eastAsia="Times New Roman" w:cs="Arial"/>
                <w:b/>
                <w:bCs/>
                <w:sz w:val="20"/>
                <w:szCs w:val="20"/>
                <w:lang w:eastAsia="en-GB"/>
              </w:rPr>
            </w:pPr>
            <w:r w:rsidRPr="00EF06C0">
              <w:rPr>
                <w:rFonts w:eastAsia="Times New Roman" w:cs="Arial"/>
                <w:b/>
                <w:bCs/>
                <w:sz w:val="20"/>
                <w:szCs w:val="20"/>
                <w:lang w:eastAsia="en-GB"/>
              </w:rPr>
              <w:t xml:space="preserve">13.222 </w:t>
            </w:r>
          </w:p>
        </w:tc>
      </w:tr>
    </w:tbl>
    <w:p w:rsidR="00E2507D" w:rsidP="00E2507D"/>
    <w:p w:rsidR="00E2507D" w:rsidP="00E2507D">
      <w:pPr>
        <w:spacing w:after="0"/>
        <w:rPr>
          <w:rFonts w:eastAsia="Times New Roman" w:cs="Arial"/>
          <w:b/>
          <w:lang w:eastAsia="en-GB"/>
        </w:rPr>
      </w:pPr>
      <w:r w:rsidRPr="00B7332A">
        <w:rPr>
          <w:rFonts w:eastAsia="Times New Roman" w:cs="Arial"/>
          <w:b/>
          <w:lang w:eastAsia="en-GB"/>
        </w:rPr>
        <w:t xml:space="preserve">Capital Programme </w:t>
      </w:r>
      <w:r>
        <w:rPr>
          <w:rFonts w:eastAsia="Times New Roman" w:cs="Arial"/>
          <w:b/>
          <w:lang w:eastAsia="en-GB"/>
        </w:rPr>
        <w:t xml:space="preserve">2020/21 </w:t>
      </w:r>
      <w:r w:rsidRPr="00B7332A">
        <w:rPr>
          <w:rFonts w:eastAsia="Times New Roman" w:cs="Arial"/>
          <w:b/>
          <w:lang w:eastAsia="en-GB"/>
        </w:rPr>
        <w:t xml:space="preserve">next steps: </w:t>
      </w:r>
    </w:p>
    <w:p w:rsidR="00E2507D" w:rsidRPr="00B7332A" w:rsidP="00E2507D">
      <w:pPr>
        <w:spacing w:after="0"/>
        <w:rPr>
          <w:rFonts w:eastAsia="Times New Roman" w:cs="Arial"/>
          <w:b/>
          <w:lang w:eastAsia="en-GB"/>
        </w:rPr>
      </w:pPr>
    </w:p>
    <w:p w:rsidR="00E2507D" w:rsidRPr="00DC1C0F" w:rsidP="00E2507D">
      <w:pPr>
        <w:spacing w:after="0"/>
        <w:rPr>
          <w:rFonts w:eastAsia="Times New Roman" w:cs="Arial"/>
          <w:lang w:eastAsia="en-GB"/>
        </w:rPr>
      </w:pPr>
      <w:r w:rsidRPr="00DC1C0F">
        <w:rPr>
          <w:rFonts w:eastAsia="Times New Roman" w:cs="Arial"/>
          <w:lang w:eastAsia="en-GB"/>
        </w:rPr>
        <w:t>During the first 3 months of 2020/21 a comprehensive review of the delivery programme for 2020/21 will be undertaken by Finance for approval by Capital Board.  The work undertaken will be as follows:</w:t>
      </w:r>
    </w:p>
    <w:p w:rsidR="00E2507D" w:rsidRPr="00DC1C0F" w:rsidP="00E2507D">
      <w:pPr>
        <w:spacing w:after="0"/>
        <w:rPr>
          <w:rFonts w:eastAsia="Times New Roman" w:cs="Arial"/>
          <w:lang w:eastAsia="en-GB"/>
        </w:rPr>
      </w:pPr>
    </w:p>
    <w:p w:rsidR="00E2507D" w:rsidRPr="00DC1C0F" w:rsidP="00E2507D">
      <w:pPr>
        <w:pStyle w:val="ListParagraph"/>
        <w:numPr>
          <w:ilvl w:val="0"/>
          <w:numId w:val="33"/>
        </w:numPr>
        <w:spacing w:after="0"/>
        <w:rPr>
          <w:rFonts w:eastAsia="Times New Roman" w:cs="Arial"/>
          <w:lang w:eastAsia="en-GB"/>
        </w:rPr>
      </w:pPr>
      <w:r w:rsidRPr="00DC1C0F">
        <w:rPr>
          <w:rFonts w:eastAsia="Times New Roman" w:cs="Arial"/>
          <w:lang w:eastAsia="en-GB"/>
        </w:rPr>
        <w:t xml:space="preserve">A comprehensive review </w:t>
      </w:r>
      <w:r>
        <w:rPr>
          <w:rFonts w:eastAsia="Times New Roman" w:cs="Arial"/>
          <w:lang w:eastAsia="en-GB"/>
        </w:rPr>
        <w:t>will be carried out to define</w:t>
      </w:r>
      <w:r w:rsidRPr="00DC1C0F">
        <w:rPr>
          <w:rFonts w:eastAsia="Times New Roman" w:cs="Arial"/>
          <w:lang w:eastAsia="en-GB"/>
        </w:rPr>
        <w:t xml:space="preserve"> what can be delivered and what needs to be delivered in 2020/21 across all blocks following unforeseen delays in 2019/20.</w:t>
      </w:r>
    </w:p>
    <w:p w:rsidR="00E2507D" w:rsidRPr="00DC1C0F" w:rsidP="00E2507D">
      <w:pPr>
        <w:pStyle w:val="ListParagraph"/>
        <w:numPr>
          <w:ilvl w:val="0"/>
          <w:numId w:val="33"/>
        </w:numPr>
        <w:spacing w:after="0"/>
        <w:rPr>
          <w:rFonts w:eastAsia="Times New Roman" w:cs="Arial"/>
          <w:lang w:eastAsia="en-GB"/>
        </w:rPr>
      </w:pPr>
      <w:r w:rsidRPr="00DC1C0F">
        <w:rPr>
          <w:rFonts w:eastAsia="Times New Roman" w:cs="Arial"/>
          <w:lang w:eastAsia="en-GB"/>
        </w:rPr>
        <w:t xml:space="preserve">An achievable 2020/21 Delivery Programme </w:t>
      </w:r>
      <w:r>
        <w:rPr>
          <w:rFonts w:eastAsia="Times New Roman" w:cs="Arial"/>
          <w:lang w:eastAsia="en-GB"/>
        </w:rPr>
        <w:t xml:space="preserve">will be </w:t>
      </w:r>
      <w:r w:rsidRPr="00DC1C0F">
        <w:rPr>
          <w:rFonts w:eastAsia="Times New Roman" w:cs="Arial"/>
          <w:lang w:eastAsia="en-GB"/>
        </w:rPr>
        <w:t xml:space="preserve">drawn up allowing for accurate financial and performance monitoring. </w:t>
      </w:r>
    </w:p>
    <w:p w:rsidR="00E2507D" w:rsidRPr="00DC1C0F" w:rsidP="00E2507D">
      <w:pPr>
        <w:pStyle w:val="ListParagraph"/>
        <w:numPr>
          <w:ilvl w:val="0"/>
          <w:numId w:val="33"/>
        </w:numPr>
        <w:spacing w:after="0"/>
        <w:rPr>
          <w:rFonts w:eastAsia="Times New Roman" w:cs="Arial"/>
          <w:lang w:eastAsia="en-GB"/>
        </w:rPr>
      </w:pPr>
      <w:r w:rsidRPr="00DC1C0F">
        <w:rPr>
          <w:rFonts w:eastAsia="Times New Roman" w:cs="Arial"/>
          <w:lang w:eastAsia="en-GB"/>
        </w:rPr>
        <w:t xml:space="preserve">Detailed monitoring of the delivery programme </w:t>
      </w:r>
      <w:r>
        <w:rPr>
          <w:rFonts w:eastAsia="Times New Roman" w:cs="Arial"/>
          <w:lang w:eastAsia="en-GB"/>
        </w:rPr>
        <w:t xml:space="preserve">will be carried out </w:t>
      </w:r>
      <w:r w:rsidRPr="00DC1C0F">
        <w:rPr>
          <w:rFonts w:eastAsia="Times New Roman" w:cs="Arial"/>
          <w:lang w:eastAsia="en-GB"/>
        </w:rPr>
        <w:t>through</w:t>
      </w:r>
      <w:r>
        <w:rPr>
          <w:rFonts w:eastAsia="Times New Roman" w:cs="Arial"/>
          <w:lang w:eastAsia="en-GB"/>
        </w:rPr>
        <w:t>out</w:t>
      </w:r>
      <w:r w:rsidRPr="00DC1C0F">
        <w:rPr>
          <w:rFonts w:eastAsia="Times New Roman" w:cs="Arial"/>
          <w:lang w:eastAsia="en-GB"/>
        </w:rPr>
        <w:t xml:space="preserve"> 2020/21 to ensure slippage is reported in a timely manner and</w:t>
      </w:r>
      <w:r>
        <w:rPr>
          <w:rFonts w:eastAsia="Times New Roman" w:cs="Arial"/>
          <w:lang w:eastAsia="en-GB"/>
        </w:rPr>
        <w:t xml:space="preserve"> to provide</w:t>
      </w:r>
      <w:r w:rsidRPr="00DC1C0F">
        <w:rPr>
          <w:rFonts w:eastAsia="Times New Roman" w:cs="Arial"/>
          <w:lang w:eastAsia="en-GB"/>
        </w:rPr>
        <w:t xml:space="preserve"> a robust level of challenge to both programme and portfolio managers by Capital Board to ensure delivery remains on track through the year. </w:t>
      </w:r>
    </w:p>
    <w:p w:rsidR="00E2507D" w:rsidRPr="00DC1C0F" w:rsidP="00E2507D">
      <w:pPr>
        <w:pStyle w:val="ListParagraph"/>
        <w:numPr>
          <w:ilvl w:val="0"/>
          <w:numId w:val="33"/>
        </w:numPr>
        <w:spacing w:after="0"/>
        <w:rPr>
          <w:rFonts w:eastAsia="Times New Roman" w:cs="Arial"/>
          <w:lang w:eastAsia="en-GB"/>
        </w:rPr>
      </w:pPr>
      <w:r w:rsidRPr="00DC1C0F">
        <w:rPr>
          <w:rFonts w:eastAsia="Times New Roman" w:cs="Arial"/>
          <w:lang w:eastAsia="en-GB"/>
        </w:rPr>
        <w:t xml:space="preserve">The implementation </w:t>
      </w:r>
      <w:r>
        <w:rPr>
          <w:rFonts w:eastAsia="Times New Roman" w:cs="Arial"/>
          <w:lang w:eastAsia="en-GB"/>
        </w:rPr>
        <w:t>programme to deliver an</w:t>
      </w:r>
      <w:r w:rsidRPr="00DC1C0F">
        <w:rPr>
          <w:rFonts w:eastAsia="Times New Roman" w:cs="Arial"/>
          <w:lang w:eastAsia="en-GB"/>
        </w:rPr>
        <w:t xml:space="preserve"> </w:t>
      </w:r>
      <w:r>
        <w:rPr>
          <w:rFonts w:eastAsia="Times New Roman" w:cs="Arial"/>
          <w:lang w:eastAsia="en-GB"/>
        </w:rPr>
        <w:t>up</w:t>
      </w:r>
      <w:r w:rsidRPr="00DC1C0F">
        <w:rPr>
          <w:rFonts w:eastAsia="Times New Roman" w:cs="Arial"/>
          <w:lang w:eastAsia="en-GB"/>
        </w:rPr>
        <w:t>graded P</w:t>
      </w:r>
      <w:r>
        <w:rPr>
          <w:rFonts w:eastAsia="Times New Roman" w:cs="Arial"/>
          <w:lang w:eastAsia="en-GB"/>
        </w:rPr>
        <w:t>roject Management system and appropriate</w:t>
      </w:r>
      <w:r w:rsidRPr="00DC1C0F">
        <w:rPr>
          <w:rFonts w:eastAsia="Times New Roman" w:cs="Arial"/>
          <w:lang w:eastAsia="en-GB"/>
        </w:rPr>
        <w:t xml:space="preserve"> work to ensure business as usual during the crossover.</w:t>
      </w:r>
    </w:p>
    <w:p w:rsidR="00E2507D" w:rsidRPr="00DC1C0F" w:rsidP="00E2507D">
      <w:pPr>
        <w:spacing w:after="0"/>
        <w:rPr>
          <w:rFonts w:eastAsia="Times New Roman" w:cs="Arial"/>
          <w:lang w:eastAsia="en-GB"/>
        </w:rPr>
      </w:pPr>
      <w:r w:rsidRPr="00DC1C0F">
        <w:rPr>
          <w:rFonts w:eastAsia="Times New Roman" w:cs="Arial"/>
          <w:lang w:eastAsia="en-GB"/>
        </w:rPr>
        <w:t xml:space="preserve"> </w:t>
      </w:r>
    </w:p>
    <w:p w:rsidR="00E2507D" w:rsidRPr="00DC1C0F" w:rsidP="00E2507D">
      <w:pPr>
        <w:spacing w:after="0"/>
        <w:rPr>
          <w:rFonts w:eastAsia="Times New Roman" w:cs="Arial"/>
          <w:lang w:eastAsia="en-GB"/>
        </w:rPr>
      </w:pPr>
      <w:r w:rsidRPr="00DC1C0F">
        <w:rPr>
          <w:rFonts w:eastAsia="Times New Roman" w:cs="Arial"/>
          <w:lang w:eastAsia="en-GB"/>
        </w:rPr>
        <w:t xml:space="preserve">A detailed position </w:t>
      </w:r>
      <w:r>
        <w:rPr>
          <w:rFonts w:eastAsia="Times New Roman" w:cs="Arial"/>
          <w:lang w:eastAsia="en-GB"/>
        </w:rPr>
        <w:t xml:space="preserve">for 2020/21, </w:t>
      </w:r>
      <w:r w:rsidRPr="00DC1C0F">
        <w:rPr>
          <w:rFonts w:eastAsia="Times New Roman" w:cs="Arial"/>
          <w:lang w:eastAsia="en-GB"/>
        </w:rPr>
        <w:t>by block</w:t>
      </w:r>
      <w:r>
        <w:rPr>
          <w:rFonts w:eastAsia="Times New Roman" w:cs="Arial"/>
          <w:lang w:eastAsia="en-GB"/>
        </w:rPr>
        <w:t xml:space="preserve">, </w:t>
      </w:r>
      <w:r w:rsidRPr="00DC1C0F">
        <w:rPr>
          <w:rFonts w:eastAsia="Times New Roman" w:cs="Arial"/>
          <w:lang w:eastAsia="en-GB"/>
        </w:rPr>
        <w:t>will b</w:t>
      </w:r>
      <w:r>
        <w:rPr>
          <w:rFonts w:eastAsia="Times New Roman" w:cs="Arial"/>
          <w:lang w:eastAsia="en-GB"/>
        </w:rPr>
        <w:t>e presented for Quarter 1 in July</w:t>
      </w:r>
      <w:r w:rsidRPr="00DC1C0F">
        <w:rPr>
          <w:rFonts w:eastAsia="Times New Roman" w:cs="Arial"/>
          <w:lang w:eastAsia="en-GB"/>
        </w:rPr>
        <w:t xml:space="preserve"> 2020 which will set the agreed delivery plan for the year against which performance will be measured monthly and reported to cabinet quarterly.  </w:t>
      </w:r>
    </w:p>
    <w:p w:rsidR="00E2507D" w:rsidP="00E2507D">
      <w:pPr>
        <w:spacing w:after="0"/>
        <w:rPr>
          <w:rFonts w:eastAsia="Times New Roman" w:cs="Arial"/>
          <w:lang w:eastAsia="en-GB"/>
        </w:rPr>
      </w:pPr>
    </w:p>
    <w:p w:rsidR="00BB323E" w:rsidP="00E2507D">
      <w:pPr>
        <w:spacing w:after="0"/>
        <w:rPr>
          <w:rFonts w:eastAsia="Times New Roman" w:cs="Arial"/>
          <w:lang w:eastAsia="en-GB"/>
        </w:rPr>
      </w:pPr>
    </w:p>
    <w:p w:rsidR="00BB323E" w:rsidP="00E2507D">
      <w:pPr>
        <w:spacing w:after="0"/>
        <w:rPr>
          <w:rFonts w:eastAsia="Times New Roman" w:cs="Arial"/>
          <w:lang w:eastAsia="en-GB"/>
        </w:rPr>
      </w:pPr>
    </w:p>
    <w:p w:rsidR="00256685" w:rsidP="00E2507D">
      <w:pPr>
        <w:spacing w:after="0"/>
        <w:rPr>
          <w:rFonts w:eastAsia="Times New Roman" w:cs="Arial"/>
          <w:lang w:eastAsia="en-GB"/>
        </w:rPr>
      </w:pPr>
    </w:p>
    <w:p w:rsidR="00256685" w:rsidP="00E2507D">
      <w:pPr>
        <w:spacing w:after="0"/>
        <w:rPr>
          <w:rFonts w:eastAsia="Times New Roman" w:cs="Arial"/>
          <w:lang w:eastAsia="en-GB"/>
        </w:rPr>
      </w:pPr>
    </w:p>
    <w:p w:rsidR="007E7B11" w:rsidP="00E2507D">
      <w:pPr>
        <w:spacing w:after="0"/>
        <w:rPr>
          <w:rFonts w:eastAsia="Times New Roman" w:cs="Arial"/>
          <w:lang w:eastAsia="en-GB"/>
        </w:rPr>
      </w:pPr>
    </w:p>
    <w:p w:rsidR="007E7B11" w:rsidP="00E2507D">
      <w:pPr>
        <w:spacing w:after="0"/>
        <w:rPr>
          <w:rFonts w:eastAsia="Times New Roman" w:cs="Arial"/>
          <w:lang w:eastAsia="en-GB"/>
        </w:rPr>
      </w:pPr>
    </w:p>
    <w:p w:rsidR="007E7B11" w:rsidP="00E2507D">
      <w:pPr>
        <w:spacing w:after="0"/>
        <w:rPr>
          <w:rFonts w:eastAsia="Times New Roman" w:cs="Arial"/>
          <w:lang w:eastAsia="en-GB"/>
        </w:rPr>
      </w:pPr>
    </w:p>
    <w:p w:rsidR="00256685" w:rsidP="00E2507D">
      <w:pPr>
        <w:spacing w:after="0"/>
        <w:rPr>
          <w:rFonts w:eastAsia="Times New Roman" w:cs="Arial"/>
          <w:lang w:eastAsia="en-GB"/>
        </w:rPr>
      </w:pPr>
    </w:p>
    <w:p w:rsidR="00BB323E" w:rsidRPr="00185BD7" w:rsidP="00E2507D">
      <w:pPr>
        <w:spacing w:after="0"/>
        <w:rPr>
          <w:rFonts w:eastAsia="Times New Roman" w:cs="Arial"/>
          <w:lang w:eastAsia="en-GB"/>
        </w:rPr>
      </w:pPr>
    </w:p>
    <w:p w:rsidR="00E2507D" w:rsidP="00E2507D">
      <w:pPr>
        <w:spacing w:after="0"/>
        <w:rPr>
          <w:rFonts w:cs="Arial"/>
          <w:b/>
        </w:rPr>
      </w:pPr>
      <w:r>
        <w:rPr>
          <w:rFonts w:eastAsia="Times New Roman" w:cs="Arial"/>
          <w:b/>
          <w:lang w:eastAsia="en-GB"/>
        </w:rPr>
        <w:t xml:space="preserve">4.  2019/20 </w:t>
      </w:r>
      <w:r w:rsidRPr="006230B5">
        <w:rPr>
          <w:rFonts w:eastAsia="Times New Roman" w:cs="Arial"/>
          <w:b/>
          <w:lang w:eastAsia="en-GB"/>
        </w:rPr>
        <w:t>Capital Programme Outturn Detailed Analysis</w:t>
      </w:r>
      <w:r w:rsidRPr="006230B5">
        <w:rPr>
          <w:rFonts w:cs="Arial"/>
          <w:b/>
        </w:rPr>
        <w:t xml:space="preserve"> </w:t>
      </w:r>
    </w:p>
    <w:p w:rsidR="00E2507D" w:rsidRPr="00735826" w:rsidP="00E2507D">
      <w:pPr>
        <w:spacing w:after="0"/>
        <w:rPr>
          <w:rFonts w:cs="Arial"/>
        </w:rPr>
      </w:pPr>
    </w:p>
    <w:p w:rsidR="00E2507D" w:rsidP="00E2507D">
      <w:pPr>
        <w:spacing w:after="0"/>
        <w:rPr>
          <w:rFonts w:cs="Arial"/>
        </w:rPr>
      </w:pPr>
      <w:r w:rsidRPr="00735826">
        <w:rPr>
          <w:rFonts w:cs="Arial"/>
        </w:rPr>
        <w:t>The outturn variances by block from th</w:t>
      </w:r>
      <w:r>
        <w:rPr>
          <w:rFonts w:cs="Arial"/>
        </w:rPr>
        <w:t xml:space="preserve">e budget for delivery in 2019/20, with comments by programme or significant project </w:t>
      </w:r>
      <w:r w:rsidRPr="00735826">
        <w:rPr>
          <w:rFonts w:cs="Arial"/>
        </w:rPr>
        <w:t>are as follows:</w:t>
      </w:r>
    </w:p>
    <w:p w:rsidR="00BB323E" w:rsidP="00E2507D">
      <w:pPr>
        <w:rPr>
          <w:b/>
        </w:rPr>
      </w:pPr>
    </w:p>
    <w:p w:rsidR="00E2507D" w:rsidRPr="005206F4" w:rsidP="00E2507D">
      <w:pPr>
        <w:rPr>
          <w:b/>
        </w:rPr>
      </w:pPr>
      <w:r>
        <w:rPr>
          <w:b/>
        </w:rPr>
        <w:t>Schools</w:t>
      </w:r>
    </w:p>
    <w:p w:rsidR="00E2507D" w:rsidRPr="005206F4" w:rsidP="00256685">
      <w:pPr>
        <w:spacing w:after="0"/>
      </w:pPr>
      <w:r w:rsidRPr="005206F4">
        <w:rPr>
          <w:b/>
        </w:rPr>
        <w:t xml:space="preserve">The </w:t>
      </w:r>
      <w:r>
        <w:rPr>
          <w:b/>
        </w:rPr>
        <w:t>Schools capital p</w:t>
      </w:r>
      <w:r w:rsidRPr="005206F4">
        <w:rPr>
          <w:b/>
        </w:rPr>
        <w:t>rogramme had a 2019/20 delivery plan of £</w:t>
      </w:r>
      <w:r>
        <w:rPr>
          <w:b/>
        </w:rPr>
        <w:t>26.053</w:t>
      </w:r>
      <w:r w:rsidRPr="005206F4">
        <w:rPr>
          <w:b/>
        </w:rPr>
        <w:t xml:space="preserve">m. </w:t>
      </w:r>
      <w:r>
        <w:rPr>
          <w:b/>
        </w:rPr>
        <w:t>Spend against this budget is £24.234m giving an underspend of £1.819m</w:t>
      </w:r>
    </w:p>
    <w:p w:rsidR="00E2507D" w:rsidP="00256685">
      <w:pPr>
        <w:spacing w:after="0"/>
        <w:rPr>
          <w:b/>
        </w:rPr>
      </w:pPr>
      <w:r w:rsidRPr="005206F4">
        <w:rPr>
          <w:b/>
        </w:rPr>
        <w:t>Basic Need Programme</w:t>
      </w:r>
    </w:p>
    <w:p w:rsidR="00963F9D" w:rsidRPr="005206F4" w:rsidP="00256685">
      <w:pPr>
        <w:spacing w:after="0"/>
        <w:rPr>
          <w:b/>
        </w:rPr>
      </w:pPr>
    </w:p>
    <w:p w:rsidR="00E2507D" w:rsidRPr="005206F4" w:rsidP="00256685">
      <w:pPr>
        <w:spacing w:after="0"/>
      </w:pPr>
      <w:r w:rsidRPr="005206F4">
        <w:t xml:space="preserve">The Basic Need programme is to increase school pupil places in targeted areas via grant funded school expansions or new school build projects. </w:t>
      </w:r>
    </w:p>
    <w:p w:rsidR="00E2507D" w:rsidP="00256685">
      <w:pPr>
        <w:spacing w:after="0"/>
      </w:pPr>
    </w:p>
    <w:p w:rsidR="00E2507D" w:rsidP="00256685">
      <w:pPr>
        <w:spacing w:after="0"/>
      </w:pPr>
      <w:r w:rsidRPr="005206F4">
        <w:t xml:space="preserve">The </w:t>
      </w:r>
      <w:r>
        <w:t>20</w:t>
      </w:r>
      <w:r w:rsidRPr="005206F4">
        <w:t>19/20 delivery plan for this programme was £11.641m. At the 31</w:t>
      </w:r>
      <w:r w:rsidRPr="005206F4">
        <w:rPr>
          <w:vertAlign w:val="superscript"/>
        </w:rPr>
        <w:t>st</w:t>
      </w:r>
      <w:r w:rsidRPr="005206F4">
        <w:t xml:space="preserve"> March </w:t>
      </w:r>
      <w:r>
        <w:t xml:space="preserve">2020 </w:t>
      </w:r>
      <w:r w:rsidRPr="005206F4">
        <w:t xml:space="preserve">there were 10 active schemes, including a number of new projects added in the final quarter, some incurring initial expenditure. Over the course of the year 4 projects have achieved on site completion and moved into the defects period, 6 are under construction and a few recently approved projects undergoing detailed design and tender processes. A number of the construction sites closed at the end of March owing to Covid19. Whilst this has not </w:t>
      </w:r>
      <w:r>
        <w:t xml:space="preserve">overly </w:t>
      </w:r>
      <w:r w:rsidRPr="005206F4">
        <w:t xml:space="preserve">impacted on </w:t>
      </w:r>
      <w:r>
        <w:t>20</w:t>
      </w:r>
      <w:r w:rsidRPr="005206F4">
        <w:t xml:space="preserve">19/20 delivery, delays to current and pending projects is expected. </w:t>
      </w:r>
    </w:p>
    <w:p w:rsidR="00963F9D" w:rsidP="00256685">
      <w:pPr>
        <w:spacing w:after="0"/>
      </w:pPr>
    </w:p>
    <w:p w:rsidR="00E2507D" w:rsidP="00256685">
      <w:pPr>
        <w:spacing w:after="0"/>
      </w:pPr>
      <w:r w:rsidRPr="005206F4">
        <w:t>Basic Need outturn expenditure was £9.</w:t>
      </w:r>
      <w:r>
        <w:t xml:space="preserve">354m. This represents </w:t>
      </w:r>
      <w:r>
        <w:t>an underspend</w:t>
      </w:r>
      <w:r w:rsidRPr="005206F4">
        <w:t xml:space="preserve"> of </w:t>
      </w:r>
      <w:r w:rsidRPr="005A12D8">
        <w:t>£2.287m on the deli</w:t>
      </w:r>
      <w:r>
        <w:t xml:space="preserve">very plan and is mainly due to </w:t>
      </w:r>
      <w:r w:rsidRPr="005A12D8">
        <w:t>£2.549m in slipped delivery.</w:t>
      </w:r>
    </w:p>
    <w:p w:rsidR="00E2507D" w:rsidRPr="005A12D8" w:rsidP="00256685">
      <w:pPr>
        <w:spacing w:after="0"/>
      </w:pPr>
    </w:p>
    <w:p w:rsidR="00E2507D" w:rsidP="00256685">
      <w:pPr>
        <w:spacing w:after="0"/>
      </w:pPr>
      <w:r>
        <w:t>Lytham St Anne</w:t>
      </w:r>
      <w:r w:rsidRPr="005206F4">
        <w:t>s High School expansion carri</w:t>
      </w:r>
      <w:r>
        <w:t xml:space="preserve">es forward slipped delivery of </w:t>
      </w:r>
      <w:r w:rsidRPr="005206F4">
        <w:t>£1.805m, the largest reported variance in the programme. This project commenced on site during the summer of 2019. While the project was running 3 weeks behind schedule due pilling and drainage redesigns necessitated by a high water table, works were progressing well on site. A fire report and survey tracking reports in Q4 identified areas which may cause the project to increase in scope and budget next year. Delivery variances are likely due in part to the difficulty in accurately setting a delivery estimate in advance of the project delivery timetable being agreed.</w:t>
      </w:r>
    </w:p>
    <w:p w:rsidR="00E2507D" w:rsidRPr="005206F4" w:rsidP="00256685">
      <w:pPr>
        <w:spacing w:after="0"/>
      </w:pPr>
    </w:p>
    <w:p w:rsidR="00E2507D" w:rsidP="00256685">
      <w:pPr>
        <w:spacing w:after="0"/>
      </w:pPr>
      <w:r w:rsidRPr="005206F4">
        <w:t xml:space="preserve">Ribblesdale High </w:t>
      </w:r>
      <w:r>
        <w:t>e</w:t>
      </w:r>
      <w:r w:rsidRPr="005206F4">
        <w:t>xpansion carries</w:t>
      </w:r>
      <w:r>
        <w:t xml:space="preserve"> forward slipped delivery of </w:t>
      </w:r>
      <w:r w:rsidRPr="005206F4">
        <w:t xml:space="preserve">£0.432m. The project was reporting a 4 week delay due to inclement winter weather and some quality issues which has seen areas of brickwork taken down and replaced. Plans were in place to recover the delays by replacing the masonry subcontractors and carefully coordination works during the summer holidays, but this is now subject to review under the current circumstances. </w:t>
      </w:r>
    </w:p>
    <w:p w:rsidR="00E2507D" w:rsidRPr="005206F4" w:rsidP="00256685">
      <w:pPr>
        <w:spacing w:after="0"/>
      </w:pPr>
    </w:p>
    <w:p w:rsidR="00E2507D" w:rsidP="00256685">
      <w:pPr>
        <w:spacing w:after="0"/>
      </w:pPr>
      <w:r>
        <w:t>A f</w:t>
      </w:r>
      <w:r w:rsidRPr="005206F4">
        <w:t>urther £0.312m of slipped delivery is reported across 9 other projects, 2 of which are a</w:t>
      </w:r>
      <w:r>
        <w:t>ctive projects Barrow Primary (</w:t>
      </w:r>
      <w:r w:rsidRPr="005206F4">
        <w:t>£0.167m) a</w:t>
      </w:r>
      <w:r>
        <w:t xml:space="preserve">nd Briercliffe Primary school (£0.003). The remaining </w:t>
      </w:r>
      <w:r w:rsidRPr="005206F4">
        <w:t xml:space="preserve">£0.142m slipped delivery is due to final retention payments on completed projects falling into the next financial year. </w:t>
      </w:r>
    </w:p>
    <w:p w:rsidR="00E2507D" w:rsidRPr="005206F4" w:rsidP="00256685">
      <w:pPr>
        <w:spacing w:after="0"/>
      </w:pPr>
    </w:p>
    <w:p w:rsidR="00E2507D" w:rsidP="00256685">
      <w:pPr>
        <w:spacing w:after="0"/>
      </w:pPr>
      <w:r w:rsidRPr="005206F4">
        <w:t xml:space="preserve">Additional delivery of £0.315m was observed. This largely occurred at the Langho St Mary's extension project at £0.143m which was due to increased costs on uncovering and removing asbestos. Initial expenditure of £0.118m has been incurred on the Fernandes centre, which is being remodelled to accommodate staff displaced from Easden Clough which is to be utilised to extend Unity College.  The remaining </w:t>
      </w:r>
      <w:r w:rsidRPr="005206F4">
        <w:t>additional delivery of £0.054</w:t>
      </w:r>
      <w:r>
        <w:t>m</w:t>
      </w:r>
      <w:r w:rsidRPr="005206F4">
        <w:t xml:space="preserve"> was made up of smaller variances on a number of projects.</w:t>
      </w:r>
    </w:p>
    <w:p w:rsidR="00E2507D" w:rsidRPr="005206F4" w:rsidP="00256685">
      <w:pPr>
        <w:spacing w:after="0"/>
      </w:pPr>
    </w:p>
    <w:p w:rsidR="00E2507D" w:rsidP="00256685">
      <w:pPr>
        <w:spacing w:after="0"/>
      </w:pPr>
      <w:r>
        <w:t xml:space="preserve">Savings of </w:t>
      </w:r>
      <w:r w:rsidRPr="005206F4">
        <w:t xml:space="preserve">£0.053m were made on the delivery programme, but overall savings of £1.067m on finally closing projects with no 2019/20 budgeted spending. This includes £0.808m on Holy Cross. </w:t>
      </w:r>
    </w:p>
    <w:p w:rsidR="00E2507D" w:rsidRPr="005206F4" w:rsidP="00256685">
      <w:pPr>
        <w:spacing w:after="0"/>
      </w:pPr>
    </w:p>
    <w:p w:rsidR="00E2507D" w:rsidRPr="005206F4" w:rsidP="00256685">
      <w:pPr>
        <w:spacing w:after="0"/>
        <w:rPr>
          <w:b/>
        </w:rPr>
      </w:pPr>
      <w:r w:rsidRPr="005206F4">
        <w:rPr>
          <w:b/>
        </w:rPr>
        <w:t>Condition Programme</w:t>
      </w:r>
    </w:p>
    <w:p w:rsidR="00E2507D" w:rsidP="00256685">
      <w:pPr>
        <w:spacing w:after="0"/>
      </w:pPr>
      <w:r w:rsidRPr="005206F4">
        <w:t>The Condition Programme delivers a variety of grant funded works to address priority condition issues at school buildings. The works are usually undertaken during school holidays to minimise disruption and include works to replace boilers, flat roofs, windows, electrical wiring, plus legionella and asbestos remedials.</w:t>
      </w:r>
    </w:p>
    <w:p w:rsidR="00E2507D" w:rsidRPr="005206F4" w:rsidP="00256685">
      <w:pPr>
        <w:spacing w:after="0"/>
      </w:pPr>
    </w:p>
    <w:p w:rsidR="00E2507D" w:rsidP="00256685">
      <w:pPr>
        <w:spacing w:after="0"/>
      </w:pPr>
      <w:r w:rsidRPr="005A12D8">
        <w:t>Condition outturn expe</w:t>
      </w:r>
      <w:r>
        <w:t xml:space="preserve">nditure was £10.715m, </w:t>
      </w:r>
      <w:r>
        <w:t>an underspend</w:t>
      </w:r>
      <w:r>
        <w:t xml:space="preserve"> of </w:t>
      </w:r>
      <w:r w:rsidRPr="005A12D8">
        <w:t xml:space="preserve">£1.196m on the delivery plan. </w:t>
      </w:r>
    </w:p>
    <w:p w:rsidR="00E2507D" w:rsidRPr="005A12D8" w:rsidP="00256685">
      <w:pPr>
        <w:spacing w:after="0"/>
      </w:pPr>
    </w:p>
    <w:p w:rsidR="00E2507D" w:rsidP="00256685">
      <w:pPr>
        <w:spacing w:after="0"/>
      </w:pPr>
      <w:r>
        <w:t xml:space="preserve">Overall slipped delivery of </w:t>
      </w:r>
      <w:r w:rsidRPr="005206F4">
        <w:t>£2.813m is reported.  The Rhyddings High school rebu</w:t>
      </w:r>
      <w:r>
        <w:t xml:space="preserve">ild has slipped as forecast by </w:t>
      </w:r>
      <w:r w:rsidRPr="005206F4">
        <w:t xml:space="preserve">£0.617m.  Due to a protracted design process with the client, works on site originally planned for January commenced at the end of March. The project was estimated to complete in February 2021, however a notice of delay has been received due to current difficulties in procuring materials. </w:t>
      </w:r>
    </w:p>
    <w:p w:rsidR="00E2507D" w:rsidRPr="005206F4" w:rsidP="00256685">
      <w:pPr>
        <w:spacing w:after="0"/>
      </w:pPr>
    </w:p>
    <w:p w:rsidR="00E2507D" w:rsidP="00256685">
      <w:pPr>
        <w:spacing w:after="0"/>
      </w:pPr>
      <w:r w:rsidRPr="005206F4">
        <w:t xml:space="preserve">The </w:t>
      </w:r>
      <w:r>
        <w:t>2019/20</w:t>
      </w:r>
      <w:r w:rsidRPr="005206F4">
        <w:t xml:space="preserve"> and </w:t>
      </w:r>
      <w:r>
        <w:t>20</w:t>
      </w:r>
      <w:r w:rsidRPr="005206F4">
        <w:t xml:space="preserve">19/20 start programmes have incurred slipped delivery of £1.252m and £0.944m respectively. This is due to a number of the more complex schemes not advancing as planned due to more lengthy design processes or difficulty securing a tender within the approved budget. Some of the disruptive works have been postponed until the summer when they can be delivered during school closure. It should be noted that £0.525m of the reported slipped delivery refers to retentions held on operationally completed projects and will be paid to contractors in early 2020/21 or realised as savings once final accounts are agreed. </w:t>
      </w:r>
    </w:p>
    <w:p w:rsidR="00E2507D" w:rsidRPr="005206F4" w:rsidP="00256685">
      <w:pPr>
        <w:spacing w:after="0"/>
      </w:pPr>
    </w:p>
    <w:p w:rsidR="00E2507D" w:rsidP="00256685">
      <w:pPr>
        <w:spacing w:after="0"/>
      </w:pPr>
      <w:r w:rsidRPr="005206F4">
        <w:t xml:space="preserve">Additional delivery of £1.741m was achieved on many other projects in the programme which have been quick to progress ahead of schedule. Particularly many of the new 2019/20 starts, of which £0.913m of this refers operationally completed within the year. </w:t>
      </w:r>
    </w:p>
    <w:p w:rsidR="00E2507D" w:rsidRPr="005206F4" w:rsidP="00256685">
      <w:pPr>
        <w:spacing w:after="0"/>
      </w:pPr>
    </w:p>
    <w:p w:rsidR="00E2507D" w:rsidP="00256685">
      <w:pPr>
        <w:spacing w:after="0"/>
      </w:pPr>
      <w:r w:rsidRPr="005206F4">
        <w:t>At 31</w:t>
      </w:r>
      <w:r w:rsidRPr="005206F4">
        <w:rPr>
          <w:vertAlign w:val="superscript"/>
        </w:rPr>
        <w:t>st</w:t>
      </w:r>
      <w:r w:rsidRPr="005206F4">
        <w:t xml:space="preserve"> March, overspends of £0.012m were to be approved and £0.136m of underspends were achieved against the delivery plan. Further overall savings of £1.022m were realised in addition to the delivery plan. This refers to closing projects for which remaining budgets were not included in the delivery plan. These savings have been approved for reallocation to further condition works. </w:t>
      </w:r>
    </w:p>
    <w:p w:rsidR="00963F9D" w:rsidRPr="005206F4" w:rsidP="00256685">
      <w:pPr>
        <w:spacing w:after="0"/>
      </w:pPr>
    </w:p>
    <w:p w:rsidR="00E2507D" w:rsidP="00256685">
      <w:pPr>
        <w:spacing w:after="0"/>
      </w:pPr>
      <w:r w:rsidRPr="005206F4">
        <w:rPr>
          <w:b/>
        </w:rPr>
        <w:t>Devolved Formula Capital</w:t>
      </w:r>
      <w:r>
        <w:rPr>
          <w:b/>
        </w:rPr>
        <w:t xml:space="preserve"> (DFC)</w:t>
      </w:r>
    </w:p>
    <w:p w:rsidR="00963F9D" w:rsidRPr="005206F4" w:rsidP="00256685">
      <w:pPr>
        <w:spacing w:after="0"/>
      </w:pPr>
      <w:r w:rsidRPr="005206F4">
        <w:t xml:space="preserve">The DFC programme is a grant funded programme for small to medium capital projects. It is allocated to schools to commission within capital expenditure guidelines. </w:t>
      </w:r>
    </w:p>
    <w:p w:rsidR="00E2507D" w:rsidP="00256685">
      <w:pPr>
        <w:spacing w:after="0"/>
      </w:pPr>
      <w:r w:rsidRPr="005206F4">
        <w:t xml:space="preserve">The DFC 2019/20 delivery plan is £2.500m, although it is difficult to estimate likely </w:t>
      </w:r>
      <w:r w:rsidRPr="005206F4">
        <w:t>expenditure</w:t>
      </w:r>
      <w:r w:rsidRPr="005206F4">
        <w:t xml:space="preserve"> as it is not commissioned centrally. </w:t>
      </w:r>
    </w:p>
    <w:p w:rsidR="00963F9D" w:rsidRPr="005206F4" w:rsidP="00256685">
      <w:pPr>
        <w:spacing w:after="0"/>
      </w:pPr>
    </w:p>
    <w:p w:rsidR="00E2507D" w:rsidP="00256685">
      <w:pPr>
        <w:spacing w:after="0"/>
      </w:pPr>
      <w:r w:rsidRPr="005206F4">
        <w:t xml:space="preserve">Observed spending by schools has increase since the autumn, with schools likely now utilising the additional £4.200m boost to funding awarded late in 2018/19 as part of the chancellor's 2018 autumn statement in addition to their annual allocation of </w:t>
      </w:r>
      <w:r w:rsidRPr="005206F4">
        <w:t xml:space="preserve">£2.456m. DFC outturn expenditure was £4.115m, an additional </w:t>
      </w:r>
      <w:r w:rsidRPr="005A12D8">
        <w:t>delivery variance of £1.615m.</w:t>
      </w:r>
    </w:p>
    <w:p w:rsidR="00963F9D" w:rsidRPr="005A12D8" w:rsidP="00256685">
      <w:pPr>
        <w:spacing w:after="0"/>
      </w:pPr>
    </w:p>
    <w:p w:rsidR="00E2507D" w:rsidRPr="005206F4" w:rsidP="00256685">
      <w:pPr>
        <w:spacing w:after="0"/>
        <w:rPr>
          <w:b/>
        </w:rPr>
      </w:pPr>
      <w:r w:rsidRPr="005206F4">
        <w:rPr>
          <w:b/>
        </w:rPr>
        <w:t>Full Fibre Broadband</w:t>
      </w:r>
    </w:p>
    <w:p w:rsidR="00E2507D" w:rsidP="00256685">
      <w:pPr>
        <w:spacing w:after="0"/>
      </w:pPr>
      <w:r w:rsidRPr="005A12D8">
        <w:t>£0.050m was spend</w:t>
      </w:r>
      <w:r w:rsidRPr="005206F4">
        <w:t xml:space="preserve"> in advance of planned delivery on a new grant funded programme to deliver full fibre broadband infrastructure to a number of rural Lancashire schools. The remaining grant is planned to be spent in </w:t>
      </w:r>
      <w:r>
        <w:t>20</w:t>
      </w:r>
      <w:r w:rsidRPr="005206F4">
        <w:t xml:space="preserve">20/21. </w:t>
      </w:r>
    </w:p>
    <w:p w:rsidR="00963F9D" w:rsidRPr="005206F4" w:rsidP="00256685">
      <w:pPr>
        <w:spacing w:after="0"/>
      </w:pPr>
    </w:p>
    <w:p w:rsidR="00E2507D" w:rsidRPr="005206F4" w:rsidP="00256685">
      <w:pPr>
        <w:spacing w:after="0"/>
        <w:rPr>
          <w:b/>
        </w:rPr>
      </w:pPr>
      <w:r>
        <w:rPr>
          <w:b/>
        </w:rPr>
        <w:t>Children &amp; Young People (CYP)</w:t>
      </w:r>
    </w:p>
    <w:p w:rsidR="00E2507D" w:rsidP="00256685">
      <w:pPr>
        <w:spacing w:after="0"/>
        <w:rPr>
          <w:b/>
        </w:rPr>
      </w:pPr>
      <w:r w:rsidRPr="005206F4">
        <w:rPr>
          <w:b/>
        </w:rPr>
        <w:t xml:space="preserve">The </w:t>
      </w:r>
      <w:r>
        <w:rPr>
          <w:b/>
        </w:rPr>
        <w:t>CYP capital p</w:t>
      </w:r>
      <w:r w:rsidRPr="005206F4">
        <w:rPr>
          <w:b/>
        </w:rPr>
        <w:t>rogramme had a 2019/20 delivery plan of £</w:t>
      </w:r>
      <w:r>
        <w:rPr>
          <w:b/>
        </w:rPr>
        <w:t>0.011</w:t>
      </w:r>
      <w:r w:rsidRPr="005206F4">
        <w:rPr>
          <w:b/>
        </w:rPr>
        <w:t xml:space="preserve">m. </w:t>
      </w:r>
      <w:r>
        <w:rPr>
          <w:b/>
        </w:rPr>
        <w:t>Spend against this budget is £0.414m giving a variance of £0.403m</w:t>
      </w:r>
    </w:p>
    <w:p w:rsidR="00963F9D" w:rsidRPr="005206F4" w:rsidP="00256685">
      <w:pPr>
        <w:spacing w:after="0"/>
      </w:pPr>
    </w:p>
    <w:p w:rsidR="00E2507D" w:rsidP="00256685">
      <w:pPr>
        <w:spacing w:after="0"/>
        <w:rPr>
          <w:bCs/>
        </w:rPr>
      </w:pPr>
      <w:r>
        <w:rPr>
          <w:bCs/>
        </w:rPr>
        <w:t xml:space="preserve">Savings of </w:t>
      </w:r>
      <w:r w:rsidRPr="008537E7">
        <w:rPr>
          <w:bCs/>
        </w:rPr>
        <w:t xml:space="preserve">£0.004 were made in year. The delivery plan included planned expenditure at a crisis home in Morecambe. This project has now been cancelled resulting in a £0.013m saving on the delivery plan.  </w:t>
      </w:r>
    </w:p>
    <w:p w:rsidR="00963F9D" w:rsidRPr="005206F4" w:rsidP="00256685">
      <w:pPr>
        <w:spacing w:after="0"/>
        <w:rPr>
          <w:bCs/>
        </w:rPr>
      </w:pPr>
    </w:p>
    <w:p w:rsidR="00E2507D" w:rsidP="00256685">
      <w:pPr>
        <w:spacing w:after="0"/>
        <w:rPr>
          <w:bCs/>
        </w:rPr>
      </w:pPr>
      <w:r w:rsidRPr="008537E7">
        <w:rPr>
          <w:bCs/>
        </w:rPr>
        <w:t xml:space="preserve">Additional delivery of £0.407m was </w:t>
      </w:r>
      <w:r>
        <w:rPr>
          <w:bCs/>
        </w:rPr>
        <w:t xml:space="preserve">achieved in year. </w:t>
      </w:r>
      <w:r w:rsidRPr="008537E7">
        <w:rPr>
          <w:bCs/>
        </w:rPr>
        <w:t>Of this</w:t>
      </w:r>
      <w:r>
        <w:rPr>
          <w:bCs/>
        </w:rPr>
        <w:t>,</w:t>
      </w:r>
      <w:r w:rsidRPr="008537E7">
        <w:rPr>
          <w:bCs/>
        </w:rPr>
        <w:t xml:space="preserve"> £0.021m refers to some additional final costs paid in respect of Tower Wood replacement jetties on additional safety features. Additional Delivery of £0.027m was incurred on Skelmersdale Youth Zone. A defect on Lumaglass wall panel which was outstanding since 2017 since the specialist contractor went into administration has managed to finally be resolved by an alternative contractor.</w:t>
      </w:r>
    </w:p>
    <w:p w:rsidR="00963F9D" w:rsidRPr="008537E7" w:rsidP="00256685">
      <w:pPr>
        <w:spacing w:after="0"/>
        <w:rPr>
          <w:bCs/>
        </w:rPr>
      </w:pPr>
    </w:p>
    <w:p w:rsidR="00E2507D" w:rsidP="00256685">
      <w:pPr>
        <w:spacing w:after="0"/>
        <w:rPr>
          <w:bCs/>
        </w:rPr>
      </w:pPr>
      <w:r w:rsidRPr="008537E7">
        <w:rPr>
          <w:bCs/>
        </w:rPr>
        <w:t xml:space="preserve">The largest additional delivery variance of £0.359m refers to a new children's overnight short break unit at the former North Cliffe school site in Great Harwood, approved by cabinet in May. The project is part of the strategy to increase the quality of accommodation and reduce capacity and associated costs, in response to the introduction of individualised budgets for parents/carers of children with disabilities.  A further cabinet approval in February 2020 means the children's unit will now be delivered in conjunction with an adult's unit at the same site. </w:t>
      </w:r>
    </w:p>
    <w:p w:rsidR="00963F9D" w:rsidRPr="008537E7" w:rsidP="00256685">
      <w:pPr>
        <w:spacing w:after="0"/>
        <w:rPr>
          <w:bCs/>
        </w:rPr>
      </w:pPr>
    </w:p>
    <w:p w:rsidR="00E2507D" w:rsidP="00256685">
      <w:pPr>
        <w:spacing w:after="0"/>
        <w:rPr>
          <w:bCs/>
        </w:rPr>
      </w:pPr>
      <w:r w:rsidRPr="008537E7">
        <w:rPr>
          <w:bCs/>
        </w:rPr>
        <w:t xml:space="preserve">Demolition of the current site was planned in the spring but was met with serious delays due to difficulties encountered disconnecting the gas supply to the building and has slipped to June 2020/21. However, the additional delivery refers to progress made on developing the design and planning costs for the new buildings.  </w:t>
      </w:r>
    </w:p>
    <w:p w:rsidR="00963F9D" w:rsidP="00256685">
      <w:pPr>
        <w:spacing w:after="0"/>
        <w:rPr>
          <w:bCs/>
        </w:rPr>
      </w:pPr>
    </w:p>
    <w:p w:rsidR="00963F9D" w:rsidRPr="008537E7" w:rsidP="00256685">
      <w:pPr>
        <w:spacing w:after="0"/>
        <w:rPr>
          <w:bCs/>
        </w:rPr>
      </w:pPr>
    </w:p>
    <w:p w:rsidR="00E2507D" w:rsidRPr="005206F4" w:rsidP="00256685">
      <w:pPr>
        <w:spacing w:after="0"/>
        <w:rPr>
          <w:b/>
        </w:rPr>
      </w:pPr>
      <w:r>
        <w:rPr>
          <w:b/>
        </w:rPr>
        <w:t>Highways</w:t>
      </w:r>
    </w:p>
    <w:p w:rsidR="00E2507D" w:rsidRPr="005206F4" w:rsidP="00256685">
      <w:pPr>
        <w:spacing w:after="0"/>
      </w:pPr>
      <w:r w:rsidRPr="005206F4">
        <w:rPr>
          <w:b/>
        </w:rPr>
        <w:t xml:space="preserve">The </w:t>
      </w:r>
      <w:r>
        <w:rPr>
          <w:b/>
        </w:rPr>
        <w:t>Highways capital p</w:t>
      </w:r>
      <w:r w:rsidRPr="005206F4">
        <w:rPr>
          <w:b/>
        </w:rPr>
        <w:t>rogramme had a 2019/20 delivery plan of £</w:t>
      </w:r>
      <w:r>
        <w:rPr>
          <w:b/>
        </w:rPr>
        <w:t>54.992</w:t>
      </w:r>
      <w:r w:rsidRPr="005206F4">
        <w:rPr>
          <w:b/>
        </w:rPr>
        <w:t xml:space="preserve">m. </w:t>
      </w:r>
      <w:r>
        <w:rPr>
          <w:b/>
        </w:rPr>
        <w:t>Spend against this budget is £45.505m giving an underspend of £9.487m</w:t>
      </w:r>
    </w:p>
    <w:p w:rsidR="00963F9D" w:rsidP="00256685">
      <w:pPr>
        <w:spacing w:after="0"/>
        <w:rPr>
          <w:bCs/>
        </w:rPr>
      </w:pPr>
    </w:p>
    <w:p w:rsidR="00E2507D" w:rsidRPr="00693B41" w:rsidP="00256685">
      <w:pPr>
        <w:spacing w:after="0"/>
        <w:rPr>
          <w:bCs/>
        </w:rPr>
      </w:pPr>
      <w:r w:rsidRPr="00693B41">
        <w:rPr>
          <w:bCs/>
        </w:rPr>
        <w:t>The variance</w:t>
      </w:r>
      <w:r>
        <w:rPr>
          <w:bCs/>
        </w:rPr>
        <w:t xml:space="preserve"> is largely due to slippage of </w:t>
      </w:r>
      <w:r w:rsidRPr="00693B41">
        <w:rPr>
          <w:bCs/>
        </w:rPr>
        <w:t xml:space="preserve">£14.202m, offset by </w:t>
      </w:r>
      <w:r w:rsidRPr="00693B41">
        <w:rPr>
          <w:bCs/>
        </w:rPr>
        <w:t>an overspend</w:t>
      </w:r>
      <w:r w:rsidRPr="00693B41">
        <w:rPr>
          <w:bCs/>
        </w:rPr>
        <w:t xml:space="preserve"> of £2.792m on structural defects.</w:t>
      </w:r>
    </w:p>
    <w:p w:rsidR="00963F9D" w:rsidP="00256685">
      <w:pPr>
        <w:spacing w:after="0"/>
        <w:rPr>
          <w:bCs/>
        </w:rPr>
      </w:pPr>
    </w:p>
    <w:p w:rsidR="00E2507D" w:rsidRPr="00693B41" w:rsidP="00256685">
      <w:pPr>
        <w:spacing w:after="0"/>
        <w:rPr>
          <w:bCs/>
        </w:rPr>
      </w:pPr>
      <w:r w:rsidRPr="00693B41">
        <w:rPr>
          <w:bCs/>
        </w:rPr>
        <w:t>A summary of the main variances within the block are given below-</w:t>
      </w:r>
    </w:p>
    <w:p w:rsidR="00963F9D" w:rsidP="00256685">
      <w:pPr>
        <w:spacing w:after="0"/>
        <w:rPr>
          <w:b/>
          <w:bCs/>
        </w:rPr>
      </w:pPr>
    </w:p>
    <w:p w:rsidR="00E2507D" w:rsidRPr="00693B41" w:rsidP="00256685">
      <w:pPr>
        <w:spacing w:after="0"/>
        <w:rPr>
          <w:b/>
          <w:bCs/>
        </w:rPr>
      </w:pPr>
      <w:r w:rsidRPr="00693B41">
        <w:rPr>
          <w:b/>
          <w:bCs/>
        </w:rPr>
        <w:t>Street lighting SALIX lantern replacement</w:t>
      </w:r>
    </w:p>
    <w:p w:rsidR="00E2507D" w:rsidRPr="00693B41" w:rsidP="00256685">
      <w:pPr>
        <w:spacing w:after="0"/>
        <w:rPr>
          <w:bCs/>
        </w:rPr>
      </w:pPr>
      <w:r w:rsidRPr="00693B41">
        <w:rPr>
          <w:bCs/>
        </w:rPr>
        <w:t xml:space="preserve">The works expenditure has been below estimate in 2019/20 causing slippage of £1.214m. This is due to a higher than expected number of gear trays being replaced in existing lanterns rather than needing the whole lantern to be replaced. In addition the Salix installations are behind programme due to later than anticipated lantern deliveries.  There has been a further small delay in 2019/20 due to the Covid-19 pandemic which will cause additional delays into 2020/21. It is projected that there will </w:t>
      </w:r>
      <w:r w:rsidRPr="00693B41">
        <w:rPr>
          <w:bCs/>
        </w:rPr>
        <w:t>be an under spend on the programme once all works are complete. There is also slippage of £0.255m on the street lighting defect programme.</w:t>
      </w:r>
    </w:p>
    <w:p w:rsidR="00963F9D" w:rsidP="00256685">
      <w:pPr>
        <w:spacing w:after="0"/>
        <w:rPr>
          <w:b/>
          <w:bCs/>
        </w:rPr>
      </w:pPr>
    </w:p>
    <w:p w:rsidR="00E2507D" w:rsidRPr="00693B41" w:rsidP="00256685">
      <w:pPr>
        <w:spacing w:after="0"/>
        <w:rPr>
          <w:b/>
          <w:bCs/>
        </w:rPr>
      </w:pPr>
      <w:r w:rsidRPr="00693B41">
        <w:rPr>
          <w:b/>
          <w:bCs/>
        </w:rPr>
        <w:t>Traffic Signals</w:t>
      </w:r>
    </w:p>
    <w:p w:rsidR="00E2507D" w:rsidP="00256685">
      <w:pPr>
        <w:spacing w:after="0"/>
        <w:rPr>
          <w:bCs/>
        </w:rPr>
      </w:pPr>
      <w:r w:rsidRPr="00693B41">
        <w:rPr>
          <w:bCs/>
        </w:rPr>
        <w:t>Slippage of £0.433m ma</w:t>
      </w:r>
      <w:r>
        <w:rPr>
          <w:bCs/>
        </w:rPr>
        <w:t xml:space="preserve">inly due to delays programming </w:t>
      </w:r>
      <w:r w:rsidRPr="00693B41">
        <w:rPr>
          <w:bCs/>
        </w:rPr>
        <w:t>work due to problems with the supplier. Also the complex nature of the design at Garstang Road has resulted in it only having been programmed recently.</w:t>
      </w:r>
    </w:p>
    <w:p w:rsidR="00963F9D" w:rsidRPr="00693B41" w:rsidP="00256685">
      <w:pPr>
        <w:spacing w:after="0"/>
        <w:rPr>
          <w:bCs/>
        </w:rPr>
      </w:pPr>
    </w:p>
    <w:p w:rsidR="00E2507D" w:rsidRPr="00693B41" w:rsidP="00256685">
      <w:pPr>
        <w:spacing w:after="0"/>
        <w:rPr>
          <w:b/>
          <w:bCs/>
        </w:rPr>
      </w:pPr>
      <w:r w:rsidRPr="00693B41">
        <w:rPr>
          <w:b/>
          <w:bCs/>
        </w:rPr>
        <w:t>Footways</w:t>
      </w:r>
    </w:p>
    <w:p w:rsidR="00E2507D" w:rsidRPr="00693B41" w:rsidP="00256685">
      <w:pPr>
        <w:spacing w:after="0"/>
        <w:rPr>
          <w:bCs/>
        </w:rPr>
      </w:pPr>
      <w:r w:rsidRPr="00693B41">
        <w:rPr>
          <w:bCs/>
        </w:rPr>
        <w:t>Slippage of £1.491m, of which £1.200m is due to delays in the tendering process which has resulted in works only commencing in the last quarter of the financial year.</w:t>
      </w:r>
    </w:p>
    <w:p w:rsidR="00963F9D" w:rsidP="00256685">
      <w:pPr>
        <w:spacing w:after="0"/>
        <w:rPr>
          <w:b/>
          <w:bCs/>
        </w:rPr>
      </w:pPr>
    </w:p>
    <w:p w:rsidR="00E2507D" w:rsidRPr="00693B41" w:rsidP="00256685">
      <w:pPr>
        <w:spacing w:after="0"/>
        <w:rPr>
          <w:b/>
          <w:bCs/>
        </w:rPr>
      </w:pPr>
      <w:r w:rsidRPr="00693B41">
        <w:rPr>
          <w:b/>
          <w:bCs/>
        </w:rPr>
        <w:t>Structural defects</w:t>
      </w:r>
    </w:p>
    <w:p w:rsidR="00E2507D" w:rsidP="00256685">
      <w:pPr>
        <w:spacing w:after="0"/>
        <w:rPr>
          <w:bCs/>
        </w:rPr>
      </w:pPr>
      <w:r w:rsidRPr="00693B41">
        <w:rPr>
          <w:bCs/>
        </w:rPr>
        <w:t xml:space="preserve">The overspend of £2.792m within the programme is a result of the launch of the revised HSI policy on intervention levels and response times, coupled with our method to improve quality and increase size of the repair where necessary. This was further compounded by a very rainy winter period with periods of icy weather which led to the deterioration of the network and an increase in investigatory level defects. </w:t>
      </w:r>
    </w:p>
    <w:p w:rsidR="00BB323E" w:rsidRPr="00693B41" w:rsidP="00256685">
      <w:pPr>
        <w:spacing w:after="0"/>
        <w:rPr>
          <w:bCs/>
        </w:rPr>
      </w:pPr>
    </w:p>
    <w:p w:rsidR="00E2507D" w:rsidP="00256685">
      <w:pPr>
        <w:spacing w:after="0"/>
        <w:rPr>
          <w:bCs/>
        </w:rPr>
      </w:pPr>
      <w:r>
        <w:rPr>
          <w:bCs/>
        </w:rPr>
        <w:t>Delivery of schemes within the Highways block have been hit the most from the unforeseen circumstances in 2019/20, causing additional slippage of £7.636m across the block. An ambitious delivery programme suffered from delays due to the winter flooding and then the COVID-19 pandemic. Work is ongoing on the 2020/21 delivery plan to ensure that the slipped 2019/20 priorities are delivered alongside the priorities in 2020/21</w:t>
      </w:r>
      <w:r w:rsidR="00963F9D">
        <w:rPr>
          <w:bCs/>
        </w:rPr>
        <w:t>.</w:t>
      </w:r>
    </w:p>
    <w:p w:rsidR="00963F9D" w:rsidP="00256685">
      <w:pPr>
        <w:spacing w:after="0"/>
        <w:rPr>
          <w:bCs/>
        </w:rPr>
      </w:pPr>
    </w:p>
    <w:p w:rsidR="00E2507D" w:rsidP="00256685">
      <w:pPr>
        <w:spacing w:after="0"/>
        <w:rPr>
          <w:bCs/>
        </w:rPr>
      </w:pPr>
      <w:r>
        <w:rPr>
          <w:bCs/>
        </w:rPr>
        <w:t>There was additional s</w:t>
      </w:r>
      <w:r w:rsidRPr="0024396C">
        <w:rPr>
          <w:bCs/>
        </w:rPr>
        <w:t>lippage across a number of programmes</w:t>
      </w:r>
      <w:r>
        <w:rPr>
          <w:bCs/>
        </w:rPr>
        <w:t>, specifically Moss Roads and Rural Roads programmes,</w:t>
      </w:r>
      <w:r w:rsidRPr="0024396C">
        <w:rPr>
          <w:bCs/>
        </w:rPr>
        <w:t xml:space="preserve"> amounting to £1.800m due to complexities with a tender to enable significant cost and environmental savings to be achieved due to an innovative method of recycling failed roads. </w:t>
      </w:r>
    </w:p>
    <w:p w:rsidR="00963F9D" w:rsidRPr="0024396C" w:rsidP="00256685">
      <w:pPr>
        <w:spacing w:after="0"/>
        <w:rPr>
          <w:bCs/>
        </w:rPr>
      </w:pPr>
    </w:p>
    <w:p w:rsidR="00E2507D" w:rsidRPr="0024396C" w:rsidP="00256685">
      <w:pPr>
        <w:spacing w:after="0"/>
        <w:rPr>
          <w:bCs/>
        </w:rPr>
      </w:pPr>
      <w:r w:rsidRPr="0024396C">
        <w:rPr>
          <w:bCs/>
        </w:rPr>
        <w:t>Advanced delivery occurred during the year for several schemes across the Highways block totalling £2.576m; one of which was the A59 Liverpool Road which was brought forward whilst a road closure was in place.</w:t>
      </w:r>
    </w:p>
    <w:p w:rsidR="00963F9D" w:rsidP="00256685">
      <w:pPr>
        <w:spacing w:after="0"/>
        <w:rPr>
          <w:b/>
        </w:rPr>
      </w:pPr>
    </w:p>
    <w:p w:rsidR="00963F9D" w:rsidP="00256685">
      <w:pPr>
        <w:spacing w:after="0"/>
        <w:rPr>
          <w:b/>
        </w:rPr>
      </w:pPr>
    </w:p>
    <w:p w:rsidR="00E2507D" w:rsidRPr="005206F4" w:rsidP="00256685">
      <w:pPr>
        <w:spacing w:after="0"/>
        <w:rPr>
          <w:b/>
        </w:rPr>
      </w:pPr>
      <w:r>
        <w:rPr>
          <w:b/>
        </w:rPr>
        <w:t>Transport</w:t>
      </w:r>
    </w:p>
    <w:p w:rsidR="00E2507D" w:rsidRPr="005206F4" w:rsidP="00256685">
      <w:pPr>
        <w:spacing w:after="0"/>
      </w:pPr>
      <w:r w:rsidRPr="005206F4">
        <w:rPr>
          <w:b/>
        </w:rPr>
        <w:t xml:space="preserve">The </w:t>
      </w:r>
      <w:r>
        <w:rPr>
          <w:b/>
        </w:rPr>
        <w:t>Transport capital p</w:t>
      </w:r>
      <w:r w:rsidRPr="005206F4">
        <w:rPr>
          <w:b/>
        </w:rPr>
        <w:t>rogramme had a 2019/20 delivery plan of £</w:t>
      </w:r>
      <w:r>
        <w:rPr>
          <w:b/>
        </w:rPr>
        <w:t>21.038</w:t>
      </w:r>
      <w:r w:rsidRPr="005206F4">
        <w:rPr>
          <w:b/>
        </w:rPr>
        <w:t xml:space="preserve">m. </w:t>
      </w:r>
      <w:r>
        <w:rPr>
          <w:b/>
        </w:rPr>
        <w:t>Spend against this budget is £12.481m giving an underspend of £8.557m</w:t>
      </w:r>
    </w:p>
    <w:p w:rsidR="00963F9D" w:rsidP="00256685">
      <w:pPr>
        <w:spacing w:after="0"/>
      </w:pPr>
    </w:p>
    <w:p w:rsidR="00E2507D" w:rsidRPr="005206F4" w:rsidP="00256685">
      <w:pPr>
        <w:spacing w:after="0"/>
      </w:pPr>
      <w:r w:rsidRPr="005206F4">
        <w:t>A summary of the main variations within the block is given below</w:t>
      </w:r>
    </w:p>
    <w:p w:rsidR="00963F9D" w:rsidP="00256685">
      <w:pPr>
        <w:spacing w:after="0"/>
        <w:rPr>
          <w:b/>
        </w:rPr>
      </w:pPr>
    </w:p>
    <w:p w:rsidR="00E2507D" w:rsidRPr="005206F4" w:rsidP="00256685">
      <w:pPr>
        <w:spacing w:after="0"/>
        <w:rPr>
          <w:b/>
        </w:rPr>
      </w:pPr>
      <w:r w:rsidRPr="005206F4">
        <w:rPr>
          <w:b/>
        </w:rPr>
        <w:t>Skelmersdale Rail Link</w:t>
      </w:r>
    </w:p>
    <w:p w:rsidR="00E2507D" w:rsidRPr="005206F4" w:rsidP="00256685">
      <w:pPr>
        <w:spacing w:after="0"/>
      </w:pPr>
      <w:r w:rsidRPr="005206F4">
        <w:t>An original Delivery Budget of £3.114m was created, the majority of which related to assessing the technical feasibility of constructing a rail link between the Wigan to Kirkby line and Skelmersdale. Initial studies have been completed and Network Rail are now tasked with higher level design, costing and impact assessments.  Although monthly costs are incurred to Network Rail</w:t>
      </w:r>
      <w:r>
        <w:t xml:space="preserve"> the p</w:t>
      </w:r>
      <w:r w:rsidRPr="005206F4">
        <w:t xml:space="preserve">roject </w:t>
      </w:r>
      <w:r>
        <w:t>m</w:t>
      </w:r>
      <w:r w:rsidRPr="005206F4">
        <w:t xml:space="preserve">anager understands that the final expenditure will not now be required until 2020/21 </w:t>
      </w:r>
      <w:r>
        <w:t>resulting in</w:t>
      </w:r>
      <w:r w:rsidRPr="005206F4">
        <w:t xml:space="preserve"> slippage of £1.483m.  </w:t>
      </w:r>
    </w:p>
    <w:p w:rsidR="00963F9D" w:rsidP="00256685">
      <w:pPr>
        <w:spacing w:after="0"/>
        <w:rPr>
          <w:b/>
        </w:rPr>
      </w:pPr>
    </w:p>
    <w:p w:rsidR="00BB323E" w:rsidP="00256685">
      <w:pPr>
        <w:spacing w:after="0"/>
        <w:rPr>
          <w:b/>
        </w:rPr>
      </w:pPr>
    </w:p>
    <w:p w:rsidR="00B71B53" w:rsidP="00256685">
      <w:pPr>
        <w:spacing w:after="0"/>
        <w:rPr>
          <w:b/>
        </w:rPr>
      </w:pPr>
    </w:p>
    <w:p w:rsidR="00B71B53" w:rsidP="00256685">
      <w:pPr>
        <w:spacing w:after="0"/>
        <w:rPr>
          <w:b/>
        </w:rPr>
      </w:pPr>
    </w:p>
    <w:p w:rsidR="00BB323E" w:rsidP="00256685">
      <w:pPr>
        <w:spacing w:after="0"/>
        <w:rPr>
          <w:b/>
        </w:rPr>
      </w:pPr>
    </w:p>
    <w:p w:rsidR="00E2507D" w:rsidRPr="005206F4" w:rsidP="00256685">
      <w:pPr>
        <w:spacing w:after="0"/>
        <w:rPr>
          <w:b/>
        </w:rPr>
      </w:pPr>
      <w:r w:rsidRPr="005206F4">
        <w:rPr>
          <w:b/>
        </w:rPr>
        <w:t>Safer Roads Scheme</w:t>
      </w:r>
    </w:p>
    <w:p w:rsidR="00E2507D" w:rsidRPr="005206F4" w:rsidP="00256685">
      <w:pPr>
        <w:spacing w:after="0"/>
      </w:pPr>
      <w:r w:rsidRPr="005206F4">
        <w:t xml:space="preserve">Originally forecast that </w:t>
      </w:r>
      <w:r>
        <w:t>the p</w:t>
      </w:r>
      <w:r w:rsidRPr="005206F4">
        <w:t xml:space="preserve">rogramme would be out to tender by December </w:t>
      </w:r>
      <w:r>
        <w:t>t</w:t>
      </w:r>
      <w:r w:rsidRPr="005206F4">
        <w:t xml:space="preserve">he final terms and conditions </w:t>
      </w:r>
      <w:r>
        <w:t>of the contract have just been agreed</w:t>
      </w:r>
      <w:r w:rsidRPr="005206F4">
        <w:t xml:space="preserve"> and it is unlikely construction will begin </w:t>
      </w:r>
      <w:r>
        <w:t>before quarter 2</w:t>
      </w:r>
      <w:r w:rsidRPr="005206F4">
        <w:t xml:space="preserve"> </w:t>
      </w:r>
      <w:r>
        <w:t xml:space="preserve">of </w:t>
      </w:r>
      <w:r w:rsidRPr="005206F4">
        <w:t>2020/21. Thi</w:t>
      </w:r>
      <w:r>
        <w:t xml:space="preserve">s delay will cause slippage of </w:t>
      </w:r>
      <w:r w:rsidRPr="005206F4">
        <w:t xml:space="preserve">£2.242m </w:t>
      </w:r>
    </w:p>
    <w:p w:rsidR="00963F9D" w:rsidP="00256685">
      <w:pPr>
        <w:spacing w:after="0"/>
        <w:rPr>
          <w:b/>
        </w:rPr>
      </w:pPr>
    </w:p>
    <w:p w:rsidR="00E2507D" w:rsidRPr="005206F4" w:rsidP="00256685">
      <w:pPr>
        <w:spacing w:after="0"/>
        <w:rPr>
          <w:b/>
        </w:rPr>
      </w:pPr>
      <w:r w:rsidRPr="005206F4">
        <w:rPr>
          <w:b/>
        </w:rPr>
        <w:t xml:space="preserve">Road safety </w:t>
      </w:r>
    </w:p>
    <w:p w:rsidR="00E2507D" w:rsidP="00256685">
      <w:pPr>
        <w:spacing w:after="0"/>
      </w:pPr>
      <w:r w:rsidRPr="005206F4">
        <w:t>Advanced Delivery totalling £0.132m with Cockerham Road and Bellflower Junction both £0.028m, Lynhurst Road £0.019m and work on the A59 Chatburn £0.057m ahead of their original plan.   Offsetting this are design delays i</w:t>
      </w:r>
      <w:r>
        <w:t xml:space="preserve">n the projects at Runshaw lane £0.073m and Railway Street £0.061m, with Quernmore Road </w:t>
      </w:r>
      <w:r w:rsidRPr="005206F4">
        <w:t xml:space="preserve">£0.064m slipping to 2020/21.  </w:t>
      </w:r>
    </w:p>
    <w:p w:rsidR="00963F9D" w:rsidP="00256685">
      <w:pPr>
        <w:spacing w:after="0"/>
        <w:rPr>
          <w:b/>
        </w:rPr>
      </w:pPr>
    </w:p>
    <w:p w:rsidR="00E2507D" w:rsidRPr="005206F4" w:rsidP="00256685">
      <w:pPr>
        <w:spacing w:after="0"/>
        <w:rPr>
          <w:b/>
        </w:rPr>
      </w:pPr>
      <w:r w:rsidRPr="005206F4">
        <w:rPr>
          <w:b/>
        </w:rPr>
        <w:t>East Lancs Strategic Cycleway</w:t>
      </w:r>
    </w:p>
    <w:p w:rsidR="00E2507D" w:rsidP="00256685">
      <w:pPr>
        <w:spacing w:after="0"/>
      </w:pPr>
      <w:r>
        <w:t>A d</w:t>
      </w:r>
      <w:r w:rsidRPr="005206F4">
        <w:t xml:space="preserve">elivery </w:t>
      </w:r>
      <w:r>
        <w:t>b</w:t>
      </w:r>
      <w:r w:rsidRPr="005206F4">
        <w:t xml:space="preserve">udget of £2.577m </w:t>
      </w:r>
      <w:r>
        <w:t xml:space="preserve">was </w:t>
      </w:r>
      <w:r w:rsidRPr="005206F4">
        <w:t>originally set for 2019/20 but the addition of Highways England funding (£1.700m) increased this to £4.277m.  The funding is to complete schemes H</w:t>
      </w:r>
      <w:r>
        <w:t>ighways England</w:t>
      </w:r>
      <w:r w:rsidRPr="005206F4">
        <w:t xml:space="preserve"> had planned and there was</w:t>
      </w:r>
      <w:r>
        <w:t xml:space="preserve"> a </w:t>
      </w:r>
      <w:r w:rsidRPr="005206F4">
        <w:t>requirement for</w:t>
      </w:r>
      <w:r>
        <w:t xml:space="preserve"> these schemes to take priority</w:t>
      </w:r>
      <w:r w:rsidRPr="005206F4">
        <w:t xml:space="preserve">. </w:t>
      </w:r>
    </w:p>
    <w:p w:rsidR="00963F9D" w:rsidP="00256685">
      <w:pPr>
        <w:spacing w:after="0"/>
      </w:pPr>
    </w:p>
    <w:p w:rsidR="00E2507D" w:rsidRPr="005206F4" w:rsidP="00256685">
      <w:pPr>
        <w:spacing w:after="0"/>
      </w:pPr>
      <w:r w:rsidRPr="005206F4">
        <w:t>£0.110m slipped into 2020/21 due to Bridleway challenges at Stubby Lee and the Helmshore Viaduct project being delayed due to Listed Building Protection and further drainage issues</w:t>
      </w:r>
      <w:r>
        <w:t xml:space="preserve">. </w:t>
      </w:r>
      <w:r w:rsidRPr="005206F4">
        <w:t>Delays were on major sections creating a knock on effect with linked projects and combined with further disruption caused by the weather</w:t>
      </w:r>
      <w:r>
        <w:t xml:space="preserve"> caused</w:t>
      </w:r>
      <w:r w:rsidRPr="005206F4">
        <w:t xml:space="preserve"> slippage against the delivery budget </w:t>
      </w:r>
      <w:r>
        <w:t xml:space="preserve">of </w:t>
      </w:r>
      <w:r w:rsidRPr="005206F4">
        <w:t>£2.801m</w:t>
      </w:r>
      <w:r>
        <w:t>.</w:t>
      </w:r>
    </w:p>
    <w:p w:rsidR="00963F9D" w:rsidP="00256685">
      <w:pPr>
        <w:spacing w:after="0"/>
        <w:rPr>
          <w:b/>
        </w:rPr>
      </w:pPr>
    </w:p>
    <w:p w:rsidR="00E2507D" w:rsidRPr="005206F4" w:rsidP="00256685">
      <w:pPr>
        <w:spacing w:after="0"/>
        <w:rPr>
          <w:b/>
        </w:rPr>
      </w:pPr>
      <w:r w:rsidRPr="005206F4">
        <w:rPr>
          <w:b/>
        </w:rPr>
        <w:t>Public Rights of Way</w:t>
      </w:r>
    </w:p>
    <w:p w:rsidR="00E2507D" w:rsidRPr="005206F4" w:rsidP="00256685">
      <w:pPr>
        <w:spacing w:after="0"/>
      </w:pPr>
      <w:r w:rsidRPr="005206F4">
        <w:t xml:space="preserve">Consent issues with Natural England and the Environment Agency in addition to some new drainage issues have pushed the forecasted delivery of a number of projects into 2020/21.  The Capitol Centre Project is currently in dispute with the landowner </w:t>
      </w:r>
      <w:r>
        <w:t xml:space="preserve">with the scheme now likely to be delivered in 2020/21 causing slippage of </w:t>
      </w:r>
      <w:r w:rsidRPr="005206F4">
        <w:t>£0.164m</w:t>
      </w:r>
      <w:r>
        <w:t xml:space="preserve">. </w:t>
      </w:r>
      <w:r w:rsidRPr="005206F4">
        <w:t>This</w:t>
      </w:r>
      <w:r>
        <w:t>,</w:t>
      </w:r>
      <w:r w:rsidRPr="005206F4">
        <w:t xml:space="preserve"> combined with the delays already reported</w:t>
      </w:r>
      <w:r>
        <w:t xml:space="preserve">, led to total slipped delivery of </w:t>
      </w:r>
      <w:r w:rsidRPr="005206F4">
        <w:t>£0.292m</w:t>
      </w:r>
      <w:r>
        <w:t>.</w:t>
      </w:r>
    </w:p>
    <w:p w:rsidR="00963F9D" w:rsidP="00256685">
      <w:pPr>
        <w:spacing w:after="0"/>
        <w:rPr>
          <w:b/>
        </w:rPr>
      </w:pPr>
    </w:p>
    <w:p w:rsidR="00E2507D" w:rsidRPr="005206F4" w:rsidP="00256685">
      <w:pPr>
        <w:spacing w:after="0"/>
        <w:rPr>
          <w:b/>
        </w:rPr>
      </w:pPr>
      <w:r>
        <w:rPr>
          <w:b/>
        </w:rPr>
        <w:t>National Productivity Investment Fund (NPIF)</w:t>
      </w:r>
    </w:p>
    <w:p w:rsidR="00E2507D" w:rsidRPr="005206F4" w:rsidP="00256685">
      <w:pPr>
        <w:spacing w:after="0"/>
      </w:pPr>
      <w:r>
        <w:t xml:space="preserve">Overall slipped delivery of </w:t>
      </w:r>
      <w:r w:rsidRPr="005206F4">
        <w:t>£0.808m</w:t>
      </w:r>
      <w:r>
        <w:t xml:space="preserve"> on the NPIF programme, t</w:t>
      </w:r>
      <w:r w:rsidRPr="005206F4">
        <w:t xml:space="preserve">he majority of this variance is due to the </w:t>
      </w:r>
      <w:r>
        <w:t>u</w:t>
      </w:r>
      <w:r w:rsidRPr="005206F4">
        <w:t xml:space="preserve">nallocated </w:t>
      </w:r>
      <w:r>
        <w:t>g</w:t>
      </w:r>
      <w:r w:rsidRPr="005206F4">
        <w:t>rant £0.499m being used to pay for the Transforming Cities Bid which is now not for</w:t>
      </w:r>
      <w:r>
        <w:t>ecast to be required until 2020/</w:t>
      </w:r>
      <w:r w:rsidRPr="005206F4">
        <w:t xml:space="preserve">21 in addition to delays in commencing the Riversway </w:t>
      </w:r>
      <w:r>
        <w:t>c</w:t>
      </w:r>
      <w:r w:rsidRPr="005206F4">
        <w:t xml:space="preserve">orridor </w:t>
      </w:r>
      <w:r>
        <w:t xml:space="preserve">project added a further </w:t>
      </w:r>
      <w:r w:rsidRPr="005206F4">
        <w:t>£0.129</w:t>
      </w:r>
      <w:r>
        <w:t xml:space="preserve">m of </w:t>
      </w:r>
      <w:r w:rsidRPr="005206F4">
        <w:t>slippage.</w:t>
      </w:r>
    </w:p>
    <w:p w:rsidR="00963F9D" w:rsidP="00256685">
      <w:pPr>
        <w:spacing w:after="0"/>
        <w:rPr>
          <w:b/>
        </w:rPr>
      </w:pPr>
    </w:p>
    <w:p w:rsidR="00E2507D" w:rsidRPr="005206F4" w:rsidP="00256685">
      <w:pPr>
        <w:spacing w:after="0"/>
        <w:rPr>
          <w:b/>
        </w:rPr>
      </w:pPr>
      <w:r w:rsidRPr="005206F4">
        <w:rPr>
          <w:b/>
        </w:rPr>
        <w:t>Burnley Pendle Growth Corridor</w:t>
      </w:r>
    </w:p>
    <w:p w:rsidR="00E2507D" w:rsidP="00256685">
      <w:pPr>
        <w:spacing w:after="0"/>
      </w:pPr>
      <w:r w:rsidRPr="005206F4">
        <w:t>There was additional delivery of £0.173m including Halifax Road and Rose Grove (£0.049m &amp; £0.048m)</w:t>
      </w:r>
      <w:r>
        <w:t xml:space="preserve">. There is slipped delivery of </w:t>
      </w:r>
      <w:r w:rsidRPr="005206F4">
        <w:t>£0.167m on the Manchester Road Car Par Park as further planning permission will now be required, delaying the construction until 2020/21. The varianc</w:t>
      </w:r>
      <w:r>
        <w:t xml:space="preserve">e also includes underspends of </w:t>
      </w:r>
      <w:r w:rsidRPr="005206F4">
        <w:t>£0.039m from the cancelled schemes at Junction 8 M65.</w:t>
      </w:r>
      <w:r>
        <w:t xml:space="preserve"> The variance for the programme overall was</w:t>
      </w:r>
      <w:r w:rsidRPr="005206F4">
        <w:t xml:space="preserve"> </w:t>
      </w:r>
      <w:r>
        <w:t>slippage of £</w:t>
      </w:r>
      <w:r w:rsidRPr="005206F4">
        <w:t xml:space="preserve">0.330m </w:t>
      </w:r>
    </w:p>
    <w:p w:rsidR="00963F9D" w:rsidP="00256685">
      <w:pPr>
        <w:spacing w:after="0"/>
        <w:rPr>
          <w:b/>
        </w:rPr>
      </w:pPr>
    </w:p>
    <w:p w:rsidR="00E2507D" w:rsidRPr="005206F4" w:rsidP="00256685">
      <w:pPr>
        <w:spacing w:after="0"/>
        <w:rPr>
          <w:b/>
        </w:rPr>
      </w:pPr>
      <w:r w:rsidRPr="005206F4">
        <w:rPr>
          <w:b/>
        </w:rPr>
        <w:t>Keeping Traffic Moving</w:t>
      </w:r>
    </w:p>
    <w:p w:rsidR="00E2507D" w:rsidRPr="005206F4" w:rsidP="00256685">
      <w:pPr>
        <w:spacing w:after="0"/>
      </w:pPr>
      <w:r w:rsidRPr="005206F4">
        <w:t>The Refurbishment of Ormskirk bus station, has seen delays and may need redesignin</w:t>
      </w:r>
      <w:r>
        <w:t>g spending only £0.009m in 2019/</w:t>
      </w:r>
      <w:r w:rsidRPr="005206F4">
        <w:t>20.  The programme itself saw an outturn of only £0.033m including work undertaken by Jacobs for the Urban Traffic Management &amp; Contr</w:t>
      </w:r>
      <w:r>
        <w:t xml:space="preserve">ol System, slipped delivery of </w:t>
      </w:r>
      <w:r w:rsidRPr="005206F4">
        <w:t>£0.068m</w:t>
      </w:r>
    </w:p>
    <w:p w:rsidR="00963F9D" w:rsidP="00256685">
      <w:pPr>
        <w:spacing w:after="0"/>
        <w:rPr>
          <w:b/>
        </w:rPr>
      </w:pPr>
    </w:p>
    <w:p w:rsidR="00E2507D" w:rsidRPr="005206F4" w:rsidP="00256685">
      <w:pPr>
        <w:spacing w:after="0"/>
        <w:rPr>
          <w:b/>
        </w:rPr>
      </w:pPr>
      <w:r w:rsidRPr="005206F4">
        <w:rPr>
          <w:b/>
        </w:rPr>
        <w:t xml:space="preserve">Cycling schemes </w:t>
      </w:r>
    </w:p>
    <w:p w:rsidR="00E2507D" w:rsidRPr="005206F4" w:rsidP="00256685">
      <w:pPr>
        <w:spacing w:after="0"/>
      </w:pPr>
      <w:r>
        <w:t xml:space="preserve">The underspend of </w:t>
      </w:r>
      <w:r w:rsidRPr="005206F4">
        <w:t xml:space="preserve">£0.255m relates to </w:t>
      </w:r>
      <w:r>
        <w:t>Projects at Ribbleton Avenue (£0.</w:t>
      </w:r>
      <w:r w:rsidRPr="005206F4">
        <w:t>123m), the Fle</w:t>
      </w:r>
      <w:r>
        <w:t>etwood to Thornton Connection (£</w:t>
      </w:r>
      <w:r w:rsidRPr="005206F4">
        <w:t>0.029m)</w:t>
      </w:r>
      <w:r>
        <w:t xml:space="preserve"> and Exchange Island (£</w:t>
      </w:r>
      <w:r w:rsidRPr="005206F4">
        <w:t>0.044m)</w:t>
      </w:r>
      <w:r>
        <w:t xml:space="preserve"> slipping into 2020/</w:t>
      </w:r>
      <w:r w:rsidRPr="005206F4">
        <w:t>21 along with a number of smaller variances caused by resource issues during the work on the Transforming Cities work.</w:t>
      </w:r>
    </w:p>
    <w:p w:rsidR="00963F9D" w:rsidP="00256685">
      <w:pPr>
        <w:spacing w:after="0"/>
        <w:rPr>
          <w:b/>
        </w:rPr>
      </w:pPr>
    </w:p>
    <w:p w:rsidR="00E2507D" w:rsidRPr="005206F4" w:rsidP="00256685">
      <w:pPr>
        <w:spacing w:after="0"/>
        <w:rPr>
          <w:b/>
        </w:rPr>
      </w:pPr>
      <w:r>
        <w:rPr>
          <w:b/>
        </w:rPr>
        <w:t>Externally Funded Schemes</w:t>
      </w:r>
    </w:p>
    <w:p w:rsidR="00E2507D" w:rsidRPr="005206F4" w:rsidP="00256685">
      <w:pPr>
        <w:spacing w:after="0"/>
      </w:pPr>
      <w:r w:rsidRPr="005206F4">
        <w:rPr>
          <w:b/>
        </w:rPr>
        <w:t xml:space="preserve">The </w:t>
      </w:r>
      <w:r>
        <w:rPr>
          <w:b/>
        </w:rPr>
        <w:t>Externally Funded Capital p</w:t>
      </w:r>
      <w:r w:rsidRPr="005206F4">
        <w:rPr>
          <w:b/>
        </w:rPr>
        <w:t>rogramme had a 2019/20 delivery plan of £</w:t>
      </w:r>
      <w:r>
        <w:rPr>
          <w:b/>
        </w:rPr>
        <w:t>12.851</w:t>
      </w:r>
      <w:r w:rsidRPr="005206F4">
        <w:rPr>
          <w:b/>
        </w:rPr>
        <w:t xml:space="preserve">m. </w:t>
      </w:r>
      <w:r>
        <w:rPr>
          <w:b/>
        </w:rPr>
        <w:t>Spend against this budget is £5.673m giving an underspend of £7.178m</w:t>
      </w:r>
    </w:p>
    <w:p w:rsidR="00E2507D" w:rsidP="00256685">
      <w:pPr>
        <w:spacing w:after="0"/>
      </w:pPr>
      <w:r w:rsidRPr="005206F4">
        <w:t>The variance predominantly comprises of slipped delivery across 25 schemes.</w:t>
      </w:r>
    </w:p>
    <w:p w:rsidR="00E2507D" w:rsidP="00256685">
      <w:pPr>
        <w:spacing w:after="0"/>
      </w:pPr>
      <w:r w:rsidRPr="005206F4">
        <w:t xml:space="preserve">There are 3 main schemes causing the variance. S106 M55 Heyhouses Link Road Design has slipped delivery of £3.075m due to the tender process stopping for a number of months whilst there was uncertainty over funding. A new delivery strategy has now been created. </w:t>
      </w:r>
    </w:p>
    <w:p w:rsidR="00963F9D" w:rsidP="00256685">
      <w:pPr>
        <w:spacing w:after="0"/>
      </w:pPr>
    </w:p>
    <w:p w:rsidR="00E2507D" w:rsidP="00256685">
      <w:pPr>
        <w:spacing w:after="0"/>
      </w:pPr>
      <w:r w:rsidRPr="005206F4">
        <w:t>S278 UCLan Masterplan has slippage of £2.145m caused by the ordering of materials from abroad with long lead in times and contractor delays due to unforeseen circumstances and disruption from 3</w:t>
      </w:r>
      <w:r w:rsidRPr="005206F4">
        <w:rPr>
          <w:vertAlign w:val="superscript"/>
        </w:rPr>
        <w:t>rd</w:t>
      </w:r>
      <w:r w:rsidRPr="005206F4">
        <w:t xml:space="preserve"> parties. </w:t>
      </w:r>
    </w:p>
    <w:p w:rsidR="00963F9D" w:rsidP="00256685">
      <w:pPr>
        <w:spacing w:after="0"/>
      </w:pPr>
    </w:p>
    <w:p w:rsidR="00E2507D" w:rsidP="00256685">
      <w:pPr>
        <w:spacing w:after="0"/>
      </w:pPr>
      <w:r w:rsidRPr="005206F4">
        <w:t>S278 A584 Lytham Rd/Church Rd Highway Works has slippage of £0.939m as although income was received for statutory undertaker diversions, the estimates lapsed and needed to be updated meaning we didn't pay the utility companies this financial year. Due to the current climate, the income received is to be paid back to the developer and invoiced for again at a later date.</w:t>
      </w:r>
    </w:p>
    <w:p w:rsidR="00963F9D" w:rsidRPr="005206F4" w:rsidP="00256685">
      <w:pPr>
        <w:spacing w:after="0"/>
      </w:pPr>
    </w:p>
    <w:p w:rsidR="00E2507D" w:rsidP="00256685">
      <w:pPr>
        <w:spacing w:after="0"/>
      </w:pPr>
      <w:r w:rsidRPr="005206F4">
        <w:t>Reasons for further slipped delivery include COVID-19, delayed design work (approx. £0.155m), alterations required to planned proposals (approx. £0.255m) and projects agreed late in the financial year now slipping into 2020/21 (approx. £0.340m).</w:t>
      </w:r>
    </w:p>
    <w:p w:rsidR="00963F9D" w:rsidRPr="005206F4" w:rsidP="00256685">
      <w:pPr>
        <w:spacing w:after="0"/>
      </w:pPr>
    </w:p>
    <w:p w:rsidR="00E2507D" w:rsidP="00256685">
      <w:pPr>
        <w:spacing w:after="0"/>
      </w:pPr>
      <w:r w:rsidRPr="005206F4">
        <w:t>Additional delivery totals £0.076m. Notably the A59 Pendle Rd scheme (£0.060m) is currently in the defect correction period with spend in year on contract payments. The Developer has been informed that completion is certified. Work at Euxton Lane / Strawberry Fields is also in the defects period, with additional delivery of £0.006m resulting from traffic signals work.</w:t>
      </w:r>
    </w:p>
    <w:p w:rsidR="00963F9D" w:rsidP="00256685">
      <w:pPr>
        <w:spacing w:after="0"/>
      </w:pPr>
    </w:p>
    <w:p w:rsidR="00963F9D" w:rsidP="00256685">
      <w:pPr>
        <w:spacing w:after="0"/>
      </w:pPr>
    </w:p>
    <w:p w:rsidR="00E2507D" w:rsidRPr="005206F4" w:rsidP="00256685">
      <w:pPr>
        <w:spacing w:after="0"/>
        <w:rPr>
          <w:b/>
        </w:rPr>
      </w:pPr>
      <w:r>
        <w:rPr>
          <w:b/>
        </w:rPr>
        <w:t>Waste and Other</w:t>
      </w:r>
    </w:p>
    <w:p w:rsidR="00E2507D" w:rsidRPr="005206F4" w:rsidP="00256685">
      <w:pPr>
        <w:spacing w:after="0"/>
      </w:pPr>
      <w:r w:rsidRPr="005206F4">
        <w:rPr>
          <w:b/>
        </w:rPr>
        <w:t xml:space="preserve">The </w:t>
      </w:r>
      <w:r>
        <w:rPr>
          <w:b/>
        </w:rPr>
        <w:t>Waste and Other Capital p</w:t>
      </w:r>
      <w:r w:rsidRPr="005206F4">
        <w:rPr>
          <w:b/>
        </w:rPr>
        <w:t>rogramme had a 2019/20 delivery plan of £</w:t>
      </w:r>
      <w:r>
        <w:rPr>
          <w:b/>
        </w:rPr>
        <w:t>0.871</w:t>
      </w:r>
      <w:r w:rsidRPr="005206F4">
        <w:rPr>
          <w:b/>
        </w:rPr>
        <w:t xml:space="preserve">m. </w:t>
      </w:r>
      <w:r>
        <w:rPr>
          <w:b/>
        </w:rPr>
        <w:t>Spend against this budget is £0.281m giving an underspend of £0.590m</w:t>
      </w:r>
    </w:p>
    <w:p w:rsidR="00E2507D" w:rsidRPr="00DF1D6D" w:rsidP="00256685">
      <w:pPr>
        <w:spacing w:after="0"/>
      </w:pPr>
      <w:r>
        <w:t>The</w:t>
      </w:r>
      <w:r w:rsidRPr="00DF1D6D">
        <w:t xml:space="preserve"> variance is largely due to slippage on the ISSIS replacement/Resolution (Adult ICT) project </w:t>
      </w:r>
      <w:r>
        <w:t xml:space="preserve">which was delayed due to other projects taking priority both within ICT and Core Systems. There is also slippage of £0.080m due to </w:t>
      </w:r>
      <w:r w:rsidRPr="00DF1D6D">
        <w:t>a delay in paying part of the contribution to the Lancashire Environment Fund £0.080m.</w:t>
      </w:r>
    </w:p>
    <w:p w:rsidR="00963F9D" w:rsidP="00256685">
      <w:pPr>
        <w:spacing w:after="0"/>
        <w:rPr>
          <w:b/>
        </w:rPr>
      </w:pPr>
    </w:p>
    <w:p w:rsidR="00E2507D" w:rsidRPr="005206F4" w:rsidP="00256685">
      <w:pPr>
        <w:spacing w:after="0"/>
        <w:rPr>
          <w:b/>
        </w:rPr>
      </w:pPr>
      <w:r>
        <w:rPr>
          <w:b/>
        </w:rPr>
        <w:t>Adult Social Care</w:t>
      </w:r>
    </w:p>
    <w:p w:rsidR="00E2507D" w:rsidRPr="005206F4" w:rsidP="00256685">
      <w:pPr>
        <w:spacing w:after="0"/>
      </w:pPr>
      <w:r w:rsidRPr="005206F4">
        <w:rPr>
          <w:b/>
        </w:rPr>
        <w:t xml:space="preserve">The </w:t>
      </w:r>
      <w:r>
        <w:rPr>
          <w:b/>
        </w:rPr>
        <w:t>Adult Social Care capital p</w:t>
      </w:r>
      <w:r w:rsidRPr="005206F4">
        <w:rPr>
          <w:b/>
        </w:rPr>
        <w:t>rogramme had a 2019/20 delivery plan of £</w:t>
      </w:r>
      <w:r>
        <w:rPr>
          <w:b/>
        </w:rPr>
        <w:t>16.644</w:t>
      </w:r>
      <w:r w:rsidRPr="005206F4">
        <w:rPr>
          <w:b/>
        </w:rPr>
        <w:t xml:space="preserve">m. </w:t>
      </w:r>
      <w:r>
        <w:rPr>
          <w:b/>
        </w:rPr>
        <w:t>Spend against this budget is £17.126m giving an overspend of £0.482m</w:t>
      </w:r>
    </w:p>
    <w:p w:rsidR="00963F9D" w:rsidP="00256685">
      <w:pPr>
        <w:spacing w:after="0"/>
        <w:rPr>
          <w:bCs/>
        </w:rPr>
      </w:pPr>
    </w:p>
    <w:p w:rsidR="00E2507D" w:rsidP="00256685">
      <w:pPr>
        <w:spacing w:after="0"/>
        <w:rPr>
          <w:bCs/>
        </w:rPr>
      </w:pPr>
      <w:r w:rsidRPr="00626720">
        <w:rPr>
          <w:bCs/>
        </w:rPr>
        <w:t xml:space="preserve">The Disabled Facilities Grant money (£14.731m), which makes up the majority of the delivery plan, was successfully passported to district councils. </w:t>
      </w:r>
    </w:p>
    <w:p w:rsidR="00963F9D" w:rsidRPr="00626720" w:rsidP="00256685">
      <w:pPr>
        <w:spacing w:after="0"/>
        <w:rPr>
          <w:bCs/>
        </w:rPr>
      </w:pPr>
    </w:p>
    <w:p w:rsidR="00E2507D" w:rsidP="00256685">
      <w:pPr>
        <w:spacing w:after="0"/>
        <w:rPr>
          <w:bCs/>
        </w:rPr>
      </w:pPr>
      <w:r w:rsidRPr="00626720">
        <w:rPr>
          <w:bCs/>
        </w:rPr>
        <w:t xml:space="preserve">The Extra Care Grant was separated out into 3 projects covering Preston, Chorley and Fleetwood.  The Chorley scheme has now been paid and is to be completed July 2020, causing an additional delivery variance of </w:t>
      </w:r>
      <w:r>
        <w:rPr>
          <w:bCs/>
        </w:rPr>
        <w:t>£0.981m</w:t>
      </w:r>
      <w:r w:rsidRPr="00626720">
        <w:rPr>
          <w:bCs/>
        </w:rPr>
        <w:t xml:space="preserve">. The </w:t>
      </w:r>
      <w:r>
        <w:rPr>
          <w:bCs/>
        </w:rPr>
        <w:t>s</w:t>
      </w:r>
      <w:r w:rsidRPr="00626720">
        <w:rPr>
          <w:bCs/>
        </w:rPr>
        <w:t>chemes at both Preston and Fleetwood are e</w:t>
      </w:r>
      <w:r>
        <w:rPr>
          <w:bCs/>
        </w:rPr>
        <w:t>xpected to be completed in 2020/</w:t>
      </w:r>
      <w:r w:rsidRPr="00626720">
        <w:rPr>
          <w:bCs/>
        </w:rPr>
        <w:t>21</w:t>
      </w:r>
      <w:r w:rsidR="00963F9D">
        <w:rPr>
          <w:bCs/>
        </w:rPr>
        <w:t>.</w:t>
      </w:r>
    </w:p>
    <w:p w:rsidR="00963F9D" w:rsidP="00256685">
      <w:pPr>
        <w:spacing w:after="0"/>
        <w:rPr>
          <w:bCs/>
        </w:rPr>
      </w:pPr>
    </w:p>
    <w:p w:rsidR="00E2507D" w:rsidP="00256685">
      <w:pPr>
        <w:spacing w:after="0"/>
        <w:rPr>
          <w:bCs/>
        </w:rPr>
      </w:pPr>
      <w:r w:rsidRPr="00626720">
        <w:rPr>
          <w:bCs/>
        </w:rPr>
        <w:t xml:space="preserve">The Libraries ICT project has spent £0.686m of its £0.926m budget in 2019-20. A dispute between BTLS and a supplier was resolved which saw the purchase of further Self Service Machines but the majority of this expenditure </w:t>
      </w:r>
      <w:r>
        <w:rPr>
          <w:bCs/>
        </w:rPr>
        <w:t>occur in 2020/</w:t>
      </w:r>
      <w:r w:rsidRPr="00626720">
        <w:rPr>
          <w:bCs/>
        </w:rPr>
        <w:t>21 which created £0.240m of slipped delivery</w:t>
      </w:r>
      <w:r>
        <w:rPr>
          <w:bCs/>
        </w:rPr>
        <w:t xml:space="preserve">. </w:t>
      </w:r>
      <w:r w:rsidRPr="00626720">
        <w:rPr>
          <w:bCs/>
        </w:rPr>
        <w:t xml:space="preserve">The delays in Management Team sign off for Liquid Logic improvements has created £0.382m of slipped delivery on </w:t>
      </w:r>
      <w:r>
        <w:rPr>
          <w:bCs/>
        </w:rPr>
        <w:t xml:space="preserve">the </w:t>
      </w:r>
      <w:r w:rsidRPr="00626720">
        <w:rPr>
          <w:bCs/>
        </w:rPr>
        <w:t>L</w:t>
      </w:r>
      <w:r>
        <w:rPr>
          <w:bCs/>
        </w:rPr>
        <w:t>ancashire patient record exchange service (L</w:t>
      </w:r>
      <w:r w:rsidRPr="00626720">
        <w:rPr>
          <w:bCs/>
        </w:rPr>
        <w:t>pRes</w:t>
      </w:r>
      <w:r>
        <w:rPr>
          <w:bCs/>
        </w:rPr>
        <w:t>)</w:t>
      </w:r>
      <w:r w:rsidRPr="00626720">
        <w:rPr>
          <w:bCs/>
        </w:rPr>
        <w:t xml:space="preserve"> Project.</w:t>
      </w:r>
    </w:p>
    <w:p w:rsidR="00963F9D" w:rsidRPr="00626720" w:rsidP="00256685">
      <w:pPr>
        <w:spacing w:after="0"/>
        <w:rPr>
          <w:bCs/>
        </w:rPr>
      </w:pPr>
    </w:p>
    <w:p w:rsidR="00E2507D" w:rsidP="00256685">
      <w:pPr>
        <w:spacing w:after="0"/>
        <w:rPr>
          <w:bCs/>
        </w:rPr>
      </w:pPr>
      <w:r w:rsidRPr="00626720">
        <w:rPr>
          <w:bCs/>
        </w:rPr>
        <w:t xml:space="preserve">A payment has </w:t>
      </w:r>
      <w:r>
        <w:rPr>
          <w:bCs/>
        </w:rPr>
        <w:t xml:space="preserve">been </w:t>
      </w:r>
      <w:r w:rsidRPr="00626720">
        <w:rPr>
          <w:bCs/>
        </w:rPr>
        <w:t xml:space="preserve">made to Preston City Council as part of the Re-Imagining the Harris project a partnership between Lancashire County Council and Preston City Council which was established in 2015 with the aim of transforming the Harris Museum, Art </w:t>
      </w:r>
      <w:r>
        <w:rPr>
          <w:bCs/>
        </w:rPr>
        <w:t>Gallery and Library, causing additional delivery of £0.125m.</w:t>
      </w:r>
    </w:p>
    <w:p w:rsidR="00963F9D" w:rsidP="00256685">
      <w:pPr>
        <w:spacing w:after="0"/>
        <w:rPr>
          <w:bCs/>
        </w:rPr>
      </w:pPr>
    </w:p>
    <w:p w:rsidR="00E2507D" w:rsidP="00256685">
      <w:pPr>
        <w:spacing w:after="0"/>
        <w:rPr>
          <w:bCs/>
        </w:rPr>
      </w:pPr>
      <w:r w:rsidRPr="00626720">
        <w:rPr>
          <w:bCs/>
        </w:rPr>
        <w:t>The PHE Alcohol &amp; Drug Recovery Capital Grant was received in year and fully spent on prioritising alcohol treatment, investing in equipment and facilities to ensure that treatment expertise was enhanced to better meet the needs of people with alcohol problems.</w:t>
      </w:r>
    </w:p>
    <w:p w:rsidR="00963F9D" w:rsidRPr="00626720" w:rsidP="00256685">
      <w:pPr>
        <w:spacing w:after="0"/>
        <w:rPr>
          <w:bCs/>
        </w:rPr>
      </w:pPr>
    </w:p>
    <w:p w:rsidR="00E2507D" w:rsidRPr="005206F4" w:rsidP="00256685">
      <w:pPr>
        <w:spacing w:after="0"/>
        <w:rPr>
          <w:b/>
        </w:rPr>
      </w:pPr>
      <w:r>
        <w:rPr>
          <w:b/>
        </w:rPr>
        <w:t>Corporate</w:t>
      </w:r>
    </w:p>
    <w:p w:rsidR="00E2507D" w:rsidRPr="005206F4" w:rsidP="00256685">
      <w:pPr>
        <w:spacing w:after="0"/>
      </w:pPr>
      <w:r w:rsidRPr="005206F4">
        <w:rPr>
          <w:b/>
        </w:rPr>
        <w:t xml:space="preserve">The </w:t>
      </w:r>
      <w:r>
        <w:rPr>
          <w:b/>
        </w:rPr>
        <w:t>Corporate capital p</w:t>
      </w:r>
      <w:r w:rsidRPr="005206F4">
        <w:rPr>
          <w:b/>
        </w:rPr>
        <w:t>rogramme had a 2019/20 delivery plan of £</w:t>
      </w:r>
      <w:r>
        <w:rPr>
          <w:b/>
        </w:rPr>
        <w:t>17.726</w:t>
      </w:r>
      <w:r w:rsidRPr="005206F4">
        <w:rPr>
          <w:b/>
        </w:rPr>
        <w:t xml:space="preserve">m. </w:t>
      </w:r>
      <w:r>
        <w:rPr>
          <w:b/>
        </w:rPr>
        <w:t>Spend against this budget is £11.692m giving an underspend of £6.034m</w:t>
      </w:r>
    </w:p>
    <w:p w:rsidR="00E2507D" w:rsidP="00256685">
      <w:pPr>
        <w:spacing w:after="0"/>
      </w:pPr>
      <w:r>
        <w:t xml:space="preserve">There was slipped delivery of </w:t>
      </w:r>
      <w:r w:rsidRPr="001664F7">
        <w:t xml:space="preserve">£1.168m in the Economic Development programme due to the delay in allocating the Carbon Friendly Energy Grant to specific schemes. Spend on this is now likely to commence in 2020/21. </w:t>
      </w:r>
    </w:p>
    <w:p w:rsidR="00963F9D" w:rsidP="00256685">
      <w:pPr>
        <w:spacing w:after="0"/>
      </w:pPr>
    </w:p>
    <w:p w:rsidR="00963F9D" w:rsidP="00256685">
      <w:pPr>
        <w:spacing w:after="0"/>
      </w:pPr>
      <w:r w:rsidRPr="001664F7">
        <w:t xml:space="preserve">Work at White Cross Mill 14 has continued and nears completion, </w:t>
      </w:r>
      <w:r>
        <w:t>showing additional delivery of</w:t>
      </w:r>
      <w:r w:rsidRPr="001664F7">
        <w:t xml:space="preserve"> £0.067m has been incurred. </w:t>
      </w:r>
    </w:p>
    <w:p w:rsidR="00E2507D" w:rsidP="00256685">
      <w:pPr>
        <w:spacing w:after="0"/>
      </w:pPr>
      <w:r w:rsidRPr="001664F7">
        <w:t xml:space="preserve"> </w:t>
      </w:r>
    </w:p>
    <w:p w:rsidR="00E2507D" w:rsidP="00256685">
      <w:pPr>
        <w:spacing w:after="0"/>
      </w:pPr>
      <w:r>
        <w:t xml:space="preserve">Slipped delivery of </w:t>
      </w:r>
      <w:r w:rsidRPr="00D35A0A">
        <w:t>£2.682m occurred on the Works to Operational Premises programme due to delays in commencing some of the most recent projects. Underspends on 16 completed projects has seen a combined £0.692m returned to the Property Portfolio Rationalisation contingency.</w:t>
      </w:r>
    </w:p>
    <w:p w:rsidR="00963F9D" w:rsidRPr="00D35A0A" w:rsidP="00256685">
      <w:pPr>
        <w:spacing w:after="0"/>
      </w:pPr>
    </w:p>
    <w:p w:rsidR="00E2507D" w:rsidP="00256685">
      <w:pPr>
        <w:spacing w:after="0"/>
      </w:pPr>
      <w:r w:rsidRPr="001664F7">
        <w:t xml:space="preserve">The Information Technology Upgrade for Children's Social Care project had </w:t>
      </w:r>
      <w:r w:rsidRPr="001664F7">
        <w:t>a been</w:t>
      </w:r>
      <w:r w:rsidRPr="001664F7">
        <w:t xml:space="preserve"> forecast to require additional funds however this is now being funded from revenue causing an underspend of £0.077m</w:t>
      </w:r>
      <w:r w:rsidR="00963F9D">
        <w:t>.</w:t>
      </w:r>
    </w:p>
    <w:p w:rsidR="00963F9D" w:rsidP="00256685">
      <w:pPr>
        <w:spacing w:after="0"/>
      </w:pPr>
    </w:p>
    <w:p w:rsidR="00E2507D" w:rsidRPr="00D35A0A" w:rsidP="00256685">
      <w:pPr>
        <w:spacing w:after="0"/>
      </w:pPr>
      <w:r>
        <w:t>S</w:t>
      </w:r>
      <w:r w:rsidRPr="00D35A0A">
        <w:t>pend on the two year programme of Building Condition has been lower than the</w:t>
      </w:r>
      <w:r>
        <w:t xml:space="preserve"> previous forecast. </w:t>
      </w:r>
      <w:r w:rsidRPr="00D35A0A">
        <w:t>More of the projects have had to be put on hold d</w:t>
      </w:r>
      <w:r>
        <w:t>ue to staffing resource issues. S</w:t>
      </w:r>
      <w:r w:rsidRPr="00D35A0A">
        <w:t xml:space="preserve">lippage of £1.749m is </w:t>
      </w:r>
      <w:r>
        <w:t xml:space="preserve">now </w:t>
      </w:r>
      <w:r w:rsidRPr="00D35A0A">
        <w:t>f</w:t>
      </w:r>
      <w:r>
        <w:t>orecast to be completed in 2020/</w:t>
      </w:r>
      <w:r w:rsidRPr="00D35A0A">
        <w:t>21.</w:t>
      </w:r>
    </w:p>
    <w:p w:rsidR="00963F9D" w:rsidP="00256685">
      <w:pPr>
        <w:spacing w:after="0"/>
        <w:rPr>
          <w:b/>
        </w:rPr>
      </w:pPr>
    </w:p>
    <w:p w:rsidR="00963F9D" w:rsidP="00256685">
      <w:pPr>
        <w:spacing w:after="0"/>
        <w:rPr>
          <w:b/>
        </w:rPr>
      </w:pPr>
    </w:p>
    <w:p w:rsidR="00E2507D" w:rsidRPr="005206F4" w:rsidP="00256685">
      <w:pPr>
        <w:spacing w:after="0"/>
        <w:rPr>
          <w:b/>
        </w:rPr>
      </w:pPr>
      <w:r>
        <w:rPr>
          <w:b/>
        </w:rPr>
        <w:t>Vehicles</w:t>
      </w:r>
    </w:p>
    <w:p w:rsidR="00E2507D" w:rsidRPr="005206F4" w:rsidP="00256685">
      <w:pPr>
        <w:spacing w:after="0"/>
      </w:pPr>
      <w:r w:rsidRPr="005206F4">
        <w:rPr>
          <w:b/>
        </w:rPr>
        <w:t xml:space="preserve">The </w:t>
      </w:r>
      <w:r>
        <w:rPr>
          <w:b/>
        </w:rPr>
        <w:t>Vehicles capital p</w:t>
      </w:r>
      <w:r w:rsidRPr="005206F4">
        <w:rPr>
          <w:b/>
        </w:rPr>
        <w:t>rogramme had a 2019/20 delivery plan of £</w:t>
      </w:r>
      <w:r>
        <w:rPr>
          <w:b/>
        </w:rPr>
        <w:t>3.360</w:t>
      </w:r>
      <w:r w:rsidRPr="005206F4">
        <w:rPr>
          <w:b/>
        </w:rPr>
        <w:t xml:space="preserve">m. </w:t>
      </w:r>
      <w:r>
        <w:rPr>
          <w:b/>
        </w:rPr>
        <w:t>Spend against this budget is £2.964m giving an underspend of £0.396m</w:t>
      </w:r>
    </w:p>
    <w:p w:rsidR="00E2507D" w:rsidP="00256685">
      <w:pPr>
        <w:spacing w:after="0"/>
      </w:pPr>
      <w:r w:rsidRPr="00150799">
        <w:t>This variance is due to the delayed delivery of several vehicles. The orders were made in 2019/20 but will now be delivered in 2020/21</w:t>
      </w:r>
    </w:p>
    <w:p w:rsidR="00256685" w:rsidRPr="00150799" w:rsidP="00256685">
      <w:pPr>
        <w:spacing w:after="0"/>
      </w:pPr>
    </w:p>
    <w:p w:rsidR="00963F9D" w:rsidP="00256685">
      <w:pPr>
        <w:spacing w:after="0"/>
        <w:rPr>
          <w:b/>
        </w:rPr>
      </w:pPr>
    </w:p>
    <w:p w:rsidR="00E2507D" w:rsidRPr="002C67BF" w:rsidP="00256685">
      <w:pPr>
        <w:spacing w:after="0"/>
        <w:rPr>
          <w:b/>
        </w:rPr>
      </w:pPr>
      <w:r w:rsidRPr="002C67BF">
        <w:rPr>
          <w:b/>
        </w:rPr>
        <w:t>Transforming Cities Fund (TCF)</w:t>
      </w:r>
    </w:p>
    <w:p w:rsidR="00E2507D" w:rsidP="00256685">
      <w:pPr>
        <w:spacing w:after="0"/>
        <w:rPr>
          <w:b/>
        </w:rPr>
      </w:pPr>
      <w:r w:rsidRPr="005206F4">
        <w:rPr>
          <w:b/>
        </w:rPr>
        <w:t xml:space="preserve">The </w:t>
      </w:r>
      <w:r>
        <w:rPr>
          <w:b/>
        </w:rPr>
        <w:t>TCF capital p</w:t>
      </w:r>
      <w:r w:rsidRPr="005206F4">
        <w:rPr>
          <w:b/>
        </w:rPr>
        <w:t>rogramme had a 2019/20 delivery plan of £</w:t>
      </w:r>
      <w:r>
        <w:rPr>
          <w:b/>
        </w:rPr>
        <w:t>0.650</w:t>
      </w:r>
      <w:r w:rsidRPr="005206F4">
        <w:rPr>
          <w:b/>
        </w:rPr>
        <w:t xml:space="preserve">m. </w:t>
      </w:r>
      <w:r>
        <w:rPr>
          <w:b/>
        </w:rPr>
        <w:t>Spend against this budget is £1.012m giving a variance of £0.362m</w:t>
      </w:r>
    </w:p>
    <w:p w:rsidR="00BB323E" w:rsidP="00256685">
      <w:pPr>
        <w:spacing w:after="0"/>
        <w:rPr>
          <w:b/>
        </w:rPr>
      </w:pPr>
    </w:p>
    <w:p w:rsidR="00E2507D" w:rsidP="00256685">
      <w:pPr>
        <w:spacing w:after="0"/>
      </w:pPr>
      <w:r>
        <w:t>The TCF was added to the capital programme this year. A business case was presented to Government and approved in 2019/20 and further design work has since been done to ensure the final scheme designs fit within the funding budget.</w:t>
      </w:r>
    </w:p>
    <w:p w:rsidR="00E2507D" w:rsidP="00E2507D"/>
    <w:p w:rsidR="00E2507D" w:rsidP="00E2507D"/>
    <w:p w:rsidR="00E2507D" w:rsidP="00E2507D"/>
    <w:p w:rsidR="00E2507D" w:rsidP="00E2507D"/>
    <w:p w:rsidR="00E2507D" w:rsidP="00E2507D"/>
    <w:p w:rsidR="00E2507D" w:rsidP="00E2507D"/>
    <w:p w:rsidR="00E2507D" w:rsidP="00E2507D"/>
    <w:p w:rsidR="00E2507D" w:rsidP="00E2507D"/>
    <w:p w:rsidR="00E2507D" w:rsidP="00E2507D"/>
    <w:p w:rsidR="00E2507D" w:rsidP="00E2507D"/>
    <w:p w:rsidR="00E2507D" w:rsidP="00E2507D"/>
    <w:p w:rsidR="00E2507D" w:rsidP="00E2507D"/>
    <w:p w:rsidR="00E2507D" w:rsidP="00E2507D"/>
    <w:p w:rsidR="00E2507D" w:rsidP="00E2507D"/>
    <w:p w:rsidR="00E2507D" w:rsidP="00E2507D"/>
    <w:p w:rsidR="00E2507D" w:rsidP="00E2507D"/>
    <w:p w:rsidR="00E2507D" w:rsidP="00E2507D"/>
    <w:p w:rsidR="00E2507D" w:rsidP="00E2507D"/>
    <w:p w:rsidR="00BB323E" w:rsidP="00E2507D"/>
    <w:p w:rsidR="00BB323E" w:rsidP="00E2507D"/>
    <w:p w:rsidR="00BB323E" w:rsidP="00E2507D"/>
    <w:p w:rsidR="00BB323E" w:rsidP="00E2507D"/>
    <w:p w:rsidR="00BB323E" w:rsidP="00E2507D"/>
    <w:p w:rsidR="00BB323E" w:rsidP="00E2507D"/>
    <w:p w:rsidR="00BB323E" w:rsidP="00E2507D"/>
    <w:p w:rsidR="00BB323E" w:rsidP="00E2507D"/>
    <w:p w:rsidR="00BB323E" w:rsidP="00E2507D"/>
    <w:p w:rsidR="00BB323E" w:rsidP="00E2507D"/>
    <w:p w:rsidR="00BB323E" w:rsidP="00E2507D"/>
    <w:p w:rsidR="00BB323E" w:rsidP="00E2507D"/>
    <w:p w:rsidR="00BB323E" w:rsidP="00E2507D"/>
    <w:p w:rsidR="00E2507D" w:rsidRPr="00965254" w:rsidP="00E2507D">
      <w:pPr>
        <w:autoSpaceDE/>
        <w:autoSpaceDN/>
        <w:adjustRightInd/>
        <w:spacing w:after="0"/>
        <w:jc w:val="left"/>
        <w:rPr>
          <w:rFonts w:cs="Arial"/>
          <w:b/>
          <w:bCs/>
        </w:rPr>
      </w:pPr>
      <w:r w:rsidRPr="00965254">
        <w:rPr>
          <w:rFonts w:cs="Arial"/>
          <w:b/>
          <w:bCs/>
        </w:rPr>
        <w:t>Section D – County Fund Balance, Reserves, Provisions and Capital Receipts</w:t>
      </w:r>
    </w:p>
    <w:p w:rsidR="00E2507D" w:rsidRPr="00965254" w:rsidP="00E2507D">
      <w:pPr>
        <w:tabs>
          <w:tab w:val="left" w:pos="1447"/>
          <w:tab w:val="left" w:pos="1927"/>
        </w:tabs>
        <w:spacing w:after="0"/>
        <w:ind w:right="-46"/>
        <w:rPr>
          <w:rFonts w:cs="Arial"/>
          <w:b/>
          <w:bCs/>
        </w:rPr>
      </w:pPr>
    </w:p>
    <w:p w:rsidR="00E2507D" w:rsidRPr="00965254" w:rsidP="00E2507D">
      <w:pPr>
        <w:tabs>
          <w:tab w:val="left" w:pos="851"/>
          <w:tab w:val="left" w:pos="1927"/>
        </w:tabs>
        <w:spacing w:after="0"/>
        <w:ind w:right="-46"/>
        <w:rPr>
          <w:rFonts w:cs="Arial"/>
          <w:b/>
          <w:bCs/>
        </w:rPr>
      </w:pPr>
      <w:r w:rsidRPr="00965254">
        <w:rPr>
          <w:rFonts w:cs="Arial"/>
          <w:b/>
          <w:bCs/>
        </w:rPr>
        <w:t>5.</w:t>
      </w:r>
      <w:r w:rsidRPr="00965254">
        <w:rPr>
          <w:rFonts w:cs="Arial"/>
          <w:b/>
          <w:bCs/>
        </w:rPr>
        <w:tab/>
        <w:t>Revenue Reserves as at 31</w:t>
      </w:r>
      <w:r w:rsidRPr="00965254">
        <w:rPr>
          <w:rFonts w:cs="Arial"/>
          <w:b/>
          <w:bCs/>
          <w:vertAlign w:val="superscript"/>
        </w:rPr>
        <w:t>st</w:t>
      </w:r>
      <w:r w:rsidRPr="00965254">
        <w:rPr>
          <w:rFonts w:cs="Arial"/>
          <w:b/>
          <w:bCs/>
        </w:rPr>
        <w:t xml:space="preserve"> March 20</w:t>
      </w:r>
      <w:r>
        <w:rPr>
          <w:rFonts w:cs="Arial"/>
          <w:b/>
          <w:bCs/>
        </w:rPr>
        <w:t>20</w:t>
      </w:r>
    </w:p>
    <w:p w:rsidR="00E2507D" w:rsidRPr="00965254" w:rsidP="00E2507D">
      <w:pPr>
        <w:tabs>
          <w:tab w:val="left" w:pos="1447"/>
          <w:tab w:val="left" w:pos="1927"/>
        </w:tabs>
        <w:spacing w:after="0"/>
        <w:ind w:right="-46"/>
        <w:rPr>
          <w:rFonts w:cs="Arial"/>
          <w:b/>
          <w:bCs/>
        </w:rPr>
      </w:pPr>
    </w:p>
    <w:p w:rsidR="00E2507D" w:rsidRPr="00965254" w:rsidP="00E2507D">
      <w:pPr>
        <w:tabs>
          <w:tab w:val="left" w:pos="1447"/>
          <w:tab w:val="left" w:pos="1927"/>
        </w:tabs>
        <w:spacing w:after="0"/>
        <w:ind w:right="-46"/>
        <w:rPr>
          <w:rFonts w:cs="Arial"/>
          <w:bCs/>
        </w:rPr>
      </w:pPr>
      <w:r w:rsidRPr="00965254">
        <w:rPr>
          <w:rFonts w:cs="Arial"/>
          <w:bCs/>
        </w:rPr>
        <w:t>Table 1 below shows the summary position for revenue reserves as at 31</w:t>
      </w:r>
      <w:r w:rsidRPr="00965254">
        <w:rPr>
          <w:rFonts w:cs="Arial"/>
          <w:bCs/>
          <w:vertAlign w:val="superscript"/>
        </w:rPr>
        <w:t>st</w:t>
      </w:r>
      <w:r w:rsidRPr="00965254">
        <w:rPr>
          <w:rFonts w:cs="Arial"/>
          <w:bCs/>
        </w:rPr>
        <w:t xml:space="preserve"> March 20</w:t>
      </w:r>
      <w:r>
        <w:rPr>
          <w:rFonts w:cs="Arial"/>
          <w:bCs/>
        </w:rPr>
        <w:t>20</w:t>
      </w:r>
      <w:r w:rsidRPr="00965254">
        <w:rPr>
          <w:rFonts w:cs="Arial"/>
          <w:bCs/>
        </w:rPr>
        <w:t>:</w:t>
      </w:r>
    </w:p>
    <w:p w:rsidR="00E2507D" w:rsidRPr="00965254" w:rsidP="00E2507D">
      <w:pPr>
        <w:tabs>
          <w:tab w:val="left" w:pos="1447"/>
          <w:tab w:val="left" w:pos="1927"/>
        </w:tabs>
        <w:spacing w:after="0"/>
        <w:ind w:right="-46"/>
        <w:rPr>
          <w:rFonts w:cs="Arial"/>
          <w:bCs/>
        </w:rPr>
      </w:pPr>
    </w:p>
    <w:p w:rsidR="00E2507D" w:rsidRPr="00965254" w:rsidP="00E2507D">
      <w:pPr>
        <w:spacing w:after="0"/>
        <w:rPr>
          <w:i/>
          <w:u w:val="single"/>
        </w:rPr>
      </w:pPr>
      <w:r w:rsidRPr="00965254">
        <w:rPr>
          <w:i/>
          <w:u w:val="single"/>
        </w:rPr>
        <w:t>Table 1</w:t>
      </w:r>
    </w:p>
    <w:p w:rsidR="00E2507D" w:rsidRPr="00506BBC" w:rsidP="00E2507D">
      <w:pPr>
        <w:spacing w:after="0"/>
        <w:rPr>
          <w:highlight w:val="yellow"/>
        </w:rPr>
      </w:pPr>
    </w:p>
    <w:tbl>
      <w:tblPr>
        <w:tblW w:w="9857" w:type="dxa"/>
        <w:tblInd w:w="-548" w:type="dxa"/>
        <w:tblCellMar>
          <w:left w:w="0" w:type="dxa"/>
          <w:right w:w="0" w:type="dxa"/>
        </w:tblCellMar>
        <w:tblLook w:val="04A0"/>
      </w:tblPr>
      <w:tblGrid>
        <w:gridCol w:w="2621"/>
        <w:gridCol w:w="1426"/>
        <w:gridCol w:w="1162"/>
        <w:gridCol w:w="1038"/>
        <w:gridCol w:w="961"/>
        <w:gridCol w:w="883"/>
        <w:gridCol w:w="883"/>
        <w:gridCol w:w="883"/>
      </w:tblGrid>
      <w:tr w:rsidTr="00E2507D">
        <w:tblPrEx>
          <w:tblW w:w="9857" w:type="dxa"/>
          <w:tblInd w:w="-548" w:type="dxa"/>
          <w:tblCellMar>
            <w:left w:w="0" w:type="dxa"/>
            <w:right w:w="0" w:type="dxa"/>
          </w:tblCellMar>
          <w:tblLook w:val="04A0"/>
        </w:tblPrEx>
        <w:trPr>
          <w:trHeight w:val="952"/>
        </w:trPr>
        <w:tc>
          <w:tcPr>
            <w:tcW w:w="2621"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E2507D" w:rsidRPr="00833B81" w:rsidP="00E2507D">
            <w:pPr>
              <w:autoSpaceDE/>
              <w:autoSpaceDN/>
              <w:adjustRightInd/>
              <w:spacing w:after="0"/>
              <w:jc w:val="center"/>
              <w:rPr>
                <w:rFonts w:cs="Arial"/>
                <w:b/>
                <w:bCs/>
                <w:sz w:val="18"/>
                <w:szCs w:val="18"/>
                <w:lang w:eastAsia="en-GB"/>
              </w:rPr>
            </w:pPr>
            <w:r w:rsidRPr="00833B81">
              <w:rPr>
                <w:rFonts w:cs="Arial"/>
                <w:b/>
                <w:bCs/>
                <w:sz w:val="18"/>
                <w:szCs w:val="18"/>
                <w:lang w:eastAsia="en-GB"/>
              </w:rPr>
              <w:t>Reserve Name</w:t>
            </w:r>
          </w:p>
        </w:tc>
        <w:tc>
          <w:tcPr>
            <w:tcW w:w="1426"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E2507D" w:rsidRPr="00833B81" w:rsidP="00E2507D">
            <w:pPr>
              <w:autoSpaceDE/>
              <w:autoSpaceDN/>
              <w:adjustRightInd/>
              <w:spacing w:after="0"/>
              <w:jc w:val="center"/>
              <w:rPr>
                <w:rFonts w:cs="Arial"/>
                <w:b/>
                <w:bCs/>
                <w:sz w:val="16"/>
                <w:szCs w:val="16"/>
                <w:lang w:eastAsia="en-GB"/>
              </w:rPr>
            </w:pPr>
            <w:r w:rsidRPr="00833B81">
              <w:rPr>
                <w:rFonts w:cs="Arial"/>
                <w:b/>
                <w:bCs/>
                <w:sz w:val="16"/>
                <w:szCs w:val="16"/>
                <w:lang w:eastAsia="en-GB"/>
              </w:rPr>
              <w:t>Opening balance 2019/20</w:t>
            </w:r>
          </w:p>
        </w:tc>
        <w:tc>
          <w:tcPr>
            <w:tcW w:w="1162"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E2507D" w:rsidRPr="00833B81" w:rsidP="00E2507D">
            <w:pPr>
              <w:autoSpaceDE/>
              <w:autoSpaceDN/>
              <w:adjustRightInd/>
              <w:spacing w:after="0"/>
              <w:jc w:val="center"/>
              <w:rPr>
                <w:rFonts w:cs="Arial"/>
                <w:b/>
                <w:bCs/>
                <w:sz w:val="16"/>
                <w:szCs w:val="16"/>
                <w:lang w:eastAsia="en-GB"/>
              </w:rPr>
            </w:pPr>
            <w:r w:rsidRPr="00833B81">
              <w:rPr>
                <w:rFonts w:cs="Arial"/>
                <w:b/>
                <w:bCs/>
                <w:sz w:val="16"/>
                <w:szCs w:val="16"/>
                <w:lang w:eastAsia="en-GB"/>
              </w:rPr>
              <w:t>2019/20 Expenditure</w:t>
            </w:r>
          </w:p>
        </w:tc>
        <w:tc>
          <w:tcPr>
            <w:tcW w:w="1038"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E2507D" w:rsidRPr="00833B81" w:rsidP="00E2507D">
            <w:pPr>
              <w:autoSpaceDE/>
              <w:autoSpaceDN/>
              <w:adjustRightInd/>
              <w:spacing w:after="0"/>
              <w:jc w:val="center"/>
              <w:rPr>
                <w:rFonts w:cs="Arial"/>
                <w:b/>
                <w:bCs/>
                <w:sz w:val="16"/>
                <w:szCs w:val="16"/>
                <w:lang w:eastAsia="en-GB"/>
              </w:rPr>
            </w:pPr>
            <w:r w:rsidRPr="00833B81">
              <w:rPr>
                <w:rFonts w:cs="Arial"/>
                <w:b/>
                <w:bCs/>
                <w:sz w:val="16"/>
                <w:szCs w:val="16"/>
                <w:lang w:eastAsia="en-GB"/>
              </w:rPr>
              <w:t>2019/20 transfers to/from other reserves</w:t>
            </w:r>
          </w:p>
        </w:tc>
        <w:tc>
          <w:tcPr>
            <w:tcW w:w="961"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E2507D" w:rsidRPr="00833B81" w:rsidP="00E2507D">
            <w:pPr>
              <w:autoSpaceDE/>
              <w:autoSpaceDN/>
              <w:adjustRightInd/>
              <w:spacing w:after="0"/>
              <w:jc w:val="center"/>
              <w:rPr>
                <w:rFonts w:cs="Arial"/>
                <w:b/>
                <w:bCs/>
                <w:sz w:val="16"/>
                <w:szCs w:val="16"/>
                <w:lang w:eastAsia="en-GB"/>
              </w:rPr>
            </w:pPr>
            <w:r w:rsidRPr="00833B81">
              <w:rPr>
                <w:rFonts w:cs="Arial"/>
                <w:b/>
                <w:bCs/>
                <w:sz w:val="16"/>
                <w:szCs w:val="16"/>
                <w:lang w:eastAsia="en-GB"/>
              </w:rPr>
              <w:t>2019/20 Closing Balance</w:t>
            </w:r>
          </w:p>
        </w:tc>
        <w:tc>
          <w:tcPr>
            <w:tcW w:w="88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E2507D" w:rsidRPr="00833B81" w:rsidP="00E2507D">
            <w:pPr>
              <w:autoSpaceDE/>
              <w:autoSpaceDN/>
              <w:adjustRightInd/>
              <w:spacing w:after="0"/>
              <w:jc w:val="center"/>
              <w:rPr>
                <w:rFonts w:cs="Arial"/>
                <w:b/>
                <w:bCs/>
                <w:sz w:val="16"/>
                <w:szCs w:val="16"/>
                <w:lang w:eastAsia="en-GB"/>
              </w:rPr>
            </w:pPr>
            <w:r w:rsidRPr="00833B81">
              <w:rPr>
                <w:rFonts w:cs="Arial"/>
                <w:b/>
                <w:bCs/>
                <w:sz w:val="16"/>
                <w:szCs w:val="16"/>
                <w:lang w:eastAsia="en-GB"/>
              </w:rPr>
              <w:t>2020-21 Forecast Spend</w:t>
            </w:r>
          </w:p>
        </w:tc>
        <w:tc>
          <w:tcPr>
            <w:tcW w:w="88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E2507D" w:rsidRPr="00833B81" w:rsidP="00E2507D">
            <w:pPr>
              <w:autoSpaceDE/>
              <w:autoSpaceDN/>
              <w:adjustRightInd/>
              <w:spacing w:after="0"/>
              <w:jc w:val="center"/>
              <w:rPr>
                <w:rFonts w:cs="Arial"/>
                <w:b/>
                <w:bCs/>
                <w:sz w:val="16"/>
                <w:szCs w:val="16"/>
                <w:lang w:eastAsia="en-GB"/>
              </w:rPr>
            </w:pPr>
            <w:r w:rsidRPr="00833B81">
              <w:rPr>
                <w:rFonts w:cs="Arial"/>
                <w:b/>
                <w:bCs/>
                <w:sz w:val="16"/>
                <w:szCs w:val="16"/>
                <w:lang w:eastAsia="en-GB"/>
              </w:rPr>
              <w:t>2021-22 Forecast Spend</w:t>
            </w:r>
          </w:p>
        </w:tc>
        <w:tc>
          <w:tcPr>
            <w:tcW w:w="88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E2507D" w:rsidRPr="00833B81" w:rsidP="00E2507D">
            <w:pPr>
              <w:autoSpaceDE/>
              <w:autoSpaceDN/>
              <w:adjustRightInd/>
              <w:spacing w:after="0"/>
              <w:jc w:val="center"/>
              <w:rPr>
                <w:rFonts w:cs="Arial"/>
                <w:b/>
                <w:bCs/>
                <w:sz w:val="16"/>
                <w:szCs w:val="16"/>
                <w:lang w:eastAsia="en-GB"/>
              </w:rPr>
            </w:pPr>
            <w:r w:rsidRPr="00833B81">
              <w:rPr>
                <w:rFonts w:cs="Arial"/>
                <w:b/>
                <w:bCs/>
                <w:sz w:val="16"/>
                <w:szCs w:val="16"/>
                <w:lang w:eastAsia="en-GB"/>
              </w:rPr>
              <w:t>Forecast closing balance 31 March 2022</w:t>
            </w:r>
          </w:p>
        </w:tc>
      </w:tr>
      <w:tr w:rsidTr="00E2507D">
        <w:tblPrEx>
          <w:tblW w:w="9857" w:type="dxa"/>
          <w:tblInd w:w="-548" w:type="dxa"/>
          <w:tblCellMar>
            <w:left w:w="0" w:type="dxa"/>
            <w:right w:w="0" w:type="dxa"/>
          </w:tblCellMar>
          <w:tblLook w:val="04A0"/>
        </w:tblPrEx>
        <w:trPr>
          <w:trHeight w:val="226"/>
        </w:trPr>
        <w:tc>
          <w:tcPr>
            <w:tcW w:w="2621"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bottom"/>
            <w:hideMark/>
          </w:tcPr>
          <w:p w:rsidR="00E2507D" w:rsidRPr="00833B81" w:rsidP="00E2507D">
            <w:pPr>
              <w:autoSpaceDE/>
              <w:autoSpaceDN/>
              <w:adjustRightInd/>
              <w:spacing w:after="0"/>
              <w:jc w:val="left"/>
              <w:rPr>
                <w:rFonts w:cs="Arial"/>
                <w:sz w:val="16"/>
                <w:szCs w:val="16"/>
                <w:lang w:eastAsia="en-GB"/>
              </w:rPr>
            </w:pPr>
            <w:r w:rsidRPr="00833B81">
              <w:rPr>
                <w:rFonts w:cs="Arial"/>
                <w:sz w:val="16"/>
                <w:szCs w:val="16"/>
                <w:lang w:eastAsia="en-GB"/>
              </w:rPr>
              <w:t> </w:t>
            </w:r>
          </w:p>
        </w:tc>
        <w:tc>
          <w:tcPr>
            <w:tcW w:w="1426"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E2507D" w:rsidRPr="00833B81" w:rsidP="00E2507D">
            <w:pPr>
              <w:autoSpaceDE/>
              <w:autoSpaceDN/>
              <w:adjustRightInd/>
              <w:spacing w:after="0"/>
              <w:jc w:val="center"/>
              <w:rPr>
                <w:rFonts w:cs="Arial"/>
                <w:b/>
                <w:bCs/>
                <w:sz w:val="16"/>
                <w:szCs w:val="16"/>
                <w:lang w:eastAsia="en-GB"/>
              </w:rPr>
            </w:pPr>
            <w:r w:rsidRPr="00833B81">
              <w:rPr>
                <w:rFonts w:cs="Arial"/>
                <w:b/>
                <w:bCs/>
                <w:sz w:val="16"/>
                <w:szCs w:val="16"/>
                <w:lang w:eastAsia="en-GB"/>
              </w:rPr>
              <w:t>£m</w:t>
            </w:r>
          </w:p>
        </w:tc>
        <w:tc>
          <w:tcPr>
            <w:tcW w:w="1162"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rsidR="00E2507D" w:rsidRPr="00833B81" w:rsidP="00E2507D">
            <w:pPr>
              <w:autoSpaceDE/>
              <w:autoSpaceDN/>
              <w:adjustRightInd/>
              <w:spacing w:after="0"/>
              <w:jc w:val="center"/>
              <w:rPr>
                <w:rFonts w:cs="Arial"/>
                <w:b/>
                <w:bCs/>
                <w:sz w:val="16"/>
                <w:szCs w:val="16"/>
                <w:lang w:eastAsia="en-GB"/>
              </w:rPr>
            </w:pPr>
            <w:r w:rsidRPr="00833B81">
              <w:rPr>
                <w:rFonts w:cs="Arial"/>
                <w:b/>
                <w:bCs/>
                <w:sz w:val="16"/>
                <w:szCs w:val="16"/>
                <w:lang w:eastAsia="en-GB"/>
              </w:rPr>
              <w:t>£m</w:t>
            </w:r>
          </w:p>
        </w:tc>
        <w:tc>
          <w:tcPr>
            <w:tcW w:w="1038"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rsidR="00E2507D" w:rsidRPr="00833B81" w:rsidP="00E2507D">
            <w:pPr>
              <w:autoSpaceDE/>
              <w:autoSpaceDN/>
              <w:adjustRightInd/>
              <w:spacing w:after="0"/>
              <w:jc w:val="center"/>
              <w:rPr>
                <w:rFonts w:cs="Arial"/>
                <w:b/>
                <w:bCs/>
                <w:sz w:val="16"/>
                <w:szCs w:val="16"/>
                <w:lang w:eastAsia="en-GB"/>
              </w:rPr>
            </w:pPr>
            <w:r w:rsidRPr="00833B81">
              <w:rPr>
                <w:rFonts w:cs="Arial"/>
                <w:b/>
                <w:bCs/>
                <w:sz w:val="16"/>
                <w:szCs w:val="16"/>
                <w:lang w:eastAsia="en-GB"/>
              </w:rPr>
              <w:t>£m</w:t>
            </w:r>
          </w:p>
        </w:tc>
        <w:tc>
          <w:tcPr>
            <w:tcW w:w="961"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E2507D" w:rsidRPr="00833B81" w:rsidP="00E2507D">
            <w:pPr>
              <w:autoSpaceDE/>
              <w:autoSpaceDN/>
              <w:adjustRightInd/>
              <w:spacing w:after="0"/>
              <w:jc w:val="center"/>
              <w:rPr>
                <w:rFonts w:cs="Arial"/>
                <w:b/>
                <w:bCs/>
                <w:sz w:val="16"/>
                <w:szCs w:val="16"/>
                <w:lang w:eastAsia="en-GB"/>
              </w:rPr>
            </w:pPr>
            <w:r w:rsidRPr="00833B81">
              <w:rPr>
                <w:rFonts w:cs="Arial"/>
                <w:b/>
                <w:bCs/>
                <w:sz w:val="16"/>
                <w:szCs w:val="16"/>
                <w:lang w:eastAsia="en-GB"/>
              </w:rPr>
              <w:t>£m</w:t>
            </w:r>
          </w:p>
        </w:tc>
        <w:tc>
          <w:tcPr>
            <w:tcW w:w="88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E2507D" w:rsidRPr="00833B81" w:rsidP="00E2507D">
            <w:pPr>
              <w:autoSpaceDE/>
              <w:autoSpaceDN/>
              <w:adjustRightInd/>
              <w:spacing w:after="0"/>
              <w:jc w:val="center"/>
              <w:rPr>
                <w:rFonts w:cs="Arial"/>
                <w:b/>
                <w:bCs/>
                <w:sz w:val="16"/>
                <w:szCs w:val="16"/>
                <w:lang w:eastAsia="en-GB"/>
              </w:rPr>
            </w:pPr>
            <w:r w:rsidRPr="00833B81">
              <w:rPr>
                <w:rFonts w:cs="Arial"/>
                <w:b/>
                <w:bCs/>
                <w:sz w:val="16"/>
                <w:szCs w:val="16"/>
                <w:lang w:eastAsia="en-GB"/>
              </w:rPr>
              <w:t>£m</w:t>
            </w:r>
          </w:p>
        </w:tc>
        <w:tc>
          <w:tcPr>
            <w:tcW w:w="88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E2507D" w:rsidRPr="00833B81" w:rsidP="00E2507D">
            <w:pPr>
              <w:autoSpaceDE/>
              <w:autoSpaceDN/>
              <w:adjustRightInd/>
              <w:spacing w:after="0"/>
              <w:jc w:val="center"/>
              <w:rPr>
                <w:rFonts w:cs="Arial"/>
                <w:b/>
                <w:bCs/>
                <w:sz w:val="16"/>
                <w:szCs w:val="16"/>
                <w:lang w:eastAsia="en-GB"/>
              </w:rPr>
            </w:pPr>
            <w:r w:rsidRPr="00833B81">
              <w:rPr>
                <w:rFonts w:cs="Arial"/>
                <w:b/>
                <w:bCs/>
                <w:sz w:val="16"/>
                <w:szCs w:val="16"/>
                <w:lang w:eastAsia="en-GB"/>
              </w:rPr>
              <w:t>£m</w:t>
            </w:r>
          </w:p>
        </w:tc>
        <w:tc>
          <w:tcPr>
            <w:tcW w:w="88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E2507D" w:rsidRPr="00833B81" w:rsidP="00E2507D">
            <w:pPr>
              <w:autoSpaceDE/>
              <w:autoSpaceDN/>
              <w:adjustRightInd/>
              <w:spacing w:after="0"/>
              <w:jc w:val="center"/>
              <w:rPr>
                <w:rFonts w:cs="Arial"/>
                <w:b/>
                <w:bCs/>
                <w:sz w:val="16"/>
                <w:szCs w:val="16"/>
                <w:lang w:eastAsia="en-GB"/>
              </w:rPr>
            </w:pPr>
            <w:r w:rsidRPr="00833B81">
              <w:rPr>
                <w:rFonts w:cs="Arial"/>
                <w:b/>
                <w:bCs/>
                <w:sz w:val="16"/>
                <w:szCs w:val="16"/>
                <w:lang w:eastAsia="en-GB"/>
              </w:rPr>
              <w:t>£m</w:t>
            </w:r>
          </w:p>
        </w:tc>
      </w:tr>
      <w:tr w:rsidTr="00E2507D">
        <w:tblPrEx>
          <w:tblW w:w="9857" w:type="dxa"/>
          <w:tblInd w:w="-548" w:type="dxa"/>
          <w:tblCellMar>
            <w:left w:w="0" w:type="dxa"/>
            <w:right w:w="0" w:type="dxa"/>
          </w:tblCellMar>
          <w:tblLook w:val="04A0"/>
        </w:tblPrEx>
        <w:trPr>
          <w:trHeight w:val="562"/>
        </w:trPr>
        <w:tc>
          <w:tcPr>
            <w:tcW w:w="2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07D" w:rsidRPr="00833B81" w:rsidP="00E2507D">
            <w:pPr>
              <w:autoSpaceDE/>
              <w:autoSpaceDN/>
              <w:adjustRightInd/>
              <w:spacing w:after="0"/>
              <w:jc w:val="left"/>
              <w:rPr>
                <w:rFonts w:cs="Arial"/>
                <w:sz w:val="16"/>
                <w:szCs w:val="16"/>
                <w:lang w:eastAsia="en-GB"/>
              </w:rPr>
            </w:pPr>
            <w:r w:rsidRPr="00833B81">
              <w:rPr>
                <w:rFonts w:cs="Arial"/>
                <w:sz w:val="16"/>
                <w:szCs w:val="16"/>
                <w:lang w:eastAsia="en-GB"/>
              </w:rPr>
              <w:t>County Fund</w:t>
            </w:r>
          </w:p>
        </w:tc>
        <w:tc>
          <w:tcPr>
            <w:tcW w:w="14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2507D" w:rsidRPr="00833B81" w:rsidP="00E2507D">
            <w:pPr>
              <w:autoSpaceDE/>
              <w:autoSpaceDN/>
              <w:adjustRightInd/>
              <w:spacing w:after="0"/>
              <w:jc w:val="center"/>
              <w:rPr>
                <w:rFonts w:cs="Arial"/>
                <w:sz w:val="16"/>
                <w:szCs w:val="16"/>
                <w:lang w:eastAsia="en-GB"/>
              </w:rPr>
            </w:pPr>
            <w:r w:rsidRPr="00833B81">
              <w:rPr>
                <w:rFonts w:cs="Arial"/>
                <w:sz w:val="16"/>
                <w:szCs w:val="16"/>
                <w:lang w:eastAsia="en-GB"/>
              </w:rPr>
              <w:t>-23.437</w:t>
            </w:r>
          </w:p>
        </w:tc>
        <w:tc>
          <w:tcPr>
            <w:tcW w:w="11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2507D" w:rsidRPr="00833B81" w:rsidP="00E2507D">
            <w:pPr>
              <w:autoSpaceDE/>
              <w:autoSpaceDN/>
              <w:adjustRightInd/>
              <w:spacing w:after="0"/>
              <w:jc w:val="center"/>
              <w:rPr>
                <w:rFonts w:cs="Arial"/>
                <w:sz w:val="16"/>
                <w:szCs w:val="16"/>
                <w:lang w:eastAsia="en-GB"/>
              </w:rPr>
            </w:pPr>
            <w:r w:rsidRPr="00833B81">
              <w:rPr>
                <w:rFonts w:cs="Arial"/>
                <w:sz w:val="16"/>
                <w:szCs w:val="16"/>
                <w:lang w:eastAsia="en-GB"/>
              </w:rPr>
              <w:t>0.000</w:t>
            </w:r>
          </w:p>
        </w:tc>
        <w:tc>
          <w:tcPr>
            <w:tcW w:w="10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2507D" w:rsidRPr="00833B81" w:rsidP="00E2507D">
            <w:pPr>
              <w:autoSpaceDE/>
              <w:autoSpaceDN/>
              <w:adjustRightInd/>
              <w:spacing w:after="0"/>
              <w:jc w:val="center"/>
              <w:rPr>
                <w:rFonts w:cs="Arial"/>
                <w:sz w:val="16"/>
                <w:szCs w:val="16"/>
                <w:lang w:eastAsia="en-GB"/>
              </w:rPr>
            </w:pPr>
            <w:r w:rsidRPr="00833B81">
              <w:rPr>
                <w:rFonts w:cs="Arial"/>
                <w:sz w:val="16"/>
                <w:szCs w:val="16"/>
                <w:lang w:eastAsia="en-GB"/>
              </w:rPr>
              <w:t>0.000</w:t>
            </w:r>
          </w:p>
        </w:tc>
        <w:tc>
          <w:tcPr>
            <w:tcW w:w="9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2507D" w:rsidRPr="00833B81" w:rsidP="00E2507D">
            <w:pPr>
              <w:autoSpaceDE/>
              <w:autoSpaceDN/>
              <w:adjustRightInd/>
              <w:spacing w:after="0"/>
              <w:jc w:val="center"/>
              <w:rPr>
                <w:rFonts w:cs="Arial"/>
                <w:sz w:val="16"/>
                <w:szCs w:val="16"/>
                <w:lang w:eastAsia="en-GB"/>
              </w:rPr>
            </w:pPr>
            <w:r w:rsidRPr="00833B81">
              <w:rPr>
                <w:rFonts w:cs="Arial"/>
                <w:sz w:val="16"/>
                <w:szCs w:val="16"/>
                <w:lang w:eastAsia="en-GB"/>
              </w:rPr>
              <w:t>-23.437</w:t>
            </w:r>
          </w:p>
        </w:tc>
        <w:tc>
          <w:tcPr>
            <w:tcW w:w="8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2507D" w:rsidRPr="00833B81" w:rsidP="00E2507D">
            <w:pPr>
              <w:autoSpaceDE/>
              <w:autoSpaceDN/>
              <w:adjustRightInd/>
              <w:spacing w:after="0"/>
              <w:jc w:val="center"/>
              <w:rPr>
                <w:rFonts w:cs="Arial"/>
                <w:sz w:val="16"/>
                <w:szCs w:val="16"/>
                <w:lang w:eastAsia="en-GB"/>
              </w:rPr>
            </w:pPr>
            <w:r w:rsidRPr="00833B81">
              <w:rPr>
                <w:rFonts w:cs="Arial"/>
                <w:sz w:val="16"/>
                <w:szCs w:val="16"/>
                <w:lang w:eastAsia="en-GB"/>
              </w:rPr>
              <w:t>0.000</w:t>
            </w:r>
          </w:p>
        </w:tc>
        <w:tc>
          <w:tcPr>
            <w:tcW w:w="8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2507D" w:rsidRPr="00833B81" w:rsidP="00E2507D">
            <w:pPr>
              <w:autoSpaceDE/>
              <w:autoSpaceDN/>
              <w:adjustRightInd/>
              <w:spacing w:after="0"/>
              <w:jc w:val="center"/>
              <w:rPr>
                <w:rFonts w:cs="Arial"/>
                <w:sz w:val="16"/>
                <w:szCs w:val="16"/>
                <w:lang w:eastAsia="en-GB"/>
              </w:rPr>
            </w:pPr>
            <w:r w:rsidRPr="00833B81">
              <w:rPr>
                <w:rFonts w:cs="Arial"/>
                <w:sz w:val="16"/>
                <w:szCs w:val="16"/>
                <w:lang w:eastAsia="en-GB"/>
              </w:rPr>
              <w:t>0.000</w:t>
            </w:r>
          </w:p>
        </w:tc>
        <w:tc>
          <w:tcPr>
            <w:tcW w:w="88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rsidR="00E2507D" w:rsidRPr="00833B81" w:rsidP="00E2507D">
            <w:pPr>
              <w:autoSpaceDE/>
              <w:autoSpaceDN/>
              <w:adjustRightInd/>
              <w:spacing w:after="0"/>
              <w:jc w:val="center"/>
              <w:rPr>
                <w:rFonts w:cs="Arial"/>
                <w:sz w:val="16"/>
                <w:szCs w:val="16"/>
                <w:lang w:eastAsia="en-GB"/>
              </w:rPr>
            </w:pPr>
            <w:r w:rsidRPr="00833B81">
              <w:rPr>
                <w:rFonts w:cs="Arial"/>
                <w:sz w:val="16"/>
                <w:szCs w:val="16"/>
                <w:lang w:eastAsia="en-GB"/>
              </w:rPr>
              <w:t>-23.437</w:t>
            </w:r>
          </w:p>
        </w:tc>
      </w:tr>
      <w:tr w:rsidTr="00E2507D">
        <w:tblPrEx>
          <w:tblW w:w="9857" w:type="dxa"/>
          <w:tblInd w:w="-548" w:type="dxa"/>
          <w:tblCellMar>
            <w:left w:w="0" w:type="dxa"/>
            <w:right w:w="0" w:type="dxa"/>
          </w:tblCellMar>
          <w:tblLook w:val="04A0"/>
        </w:tblPrEx>
        <w:trPr>
          <w:trHeight w:val="562"/>
        </w:trPr>
        <w:tc>
          <w:tcPr>
            <w:tcW w:w="2621"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E2507D" w:rsidRPr="00833B81" w:rsidP="00E2507D">
            <w:pPr>
              <w:autoSpaceDE/>
              <w:autoSpaceDN/>
              <w:adjustRightInd/>
              <w:spacing w:after="0"/>
              <w:jc w:val="left"/>
              <w:rPr>
                <w:rFonts w:cs="Arial"/>
                <w:b/>
                <w:bCs/>
                <w:sz w:val="16"/>
                <w:szCs w:val="16"/>
                <w:lang w:eastAsia="en-GB"/>
              </w:rPr>
            </w:pPr>
            <w:r w:rsidRPr="00833B81">
              <w:rPr>
                <w:rFonts w:cs="Arial"/>
                <w:b/>
                <w:bCs/>
                <w:sz w:val="16"/>
                <w:szCs w:val="16"/>
                <w:lang w:eastAsia="en-GB"/>
              </w:rPr>
              <w:t>SUB TOTAL - COUNTY FUND</w:t>
            </w:r>
          </w:p>
        </w:tc>
        <w:tc>
          <w:tcPr>
            <w:tcW w:w="1426"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rsidR="00E2507D" w:rsidRPr="00833B81" w:rsidP="00E2507D">
            <w:pPr>
              <w:autoSpaceDE/>
              <w:autoSpaceDN/>
              <w:adjustRightInd/>
              <w:spacing w:after="0"/>
              <w:jc w:val="center"/>
              <w:rPr>
                <w:rFonts w:cs="Arial"/>
                <w:b/>
                <w:bCs/>
                <w:sz w:val="16"/>
                <w:szCs w:val="16"/>
                <w:lang w:eastAsia="en-GB"/>
              </w:rPr>
            </w:pPr>
            <w:r w:rsidRPr="00833B81">
              <w:rPr>
                <w:rFonts w:cs="Arial"/>
                <w:b/>
                <w:bCs/>
                <w:sz w:val="16"/>
                <w:szCs w:val="16"/>
                <w:lang w:eastAsia="en-GB"/>
              </w:rPr>
              <w:t>-23.437</w:t>
            </w:r>
          </w:p>
        </w:tc>
        <w:tc>
          <w:tcPr>
            <w:tcW w:w="1162"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rsidR="00E2507D" w:rsidRPr="00833B81" w:rsidP="00E2507D">
            <w:pPr>
              <w:autoSpaceDE/>
              <w:autoSpaceDN/>
              <w:adjustRightInd/>
              <w:spacing w:after="0"/>
              <w:jc w:val="center"/>
              <w:rPr>
                <w:rFonts w:cs="Arial"/>
                <w:b/>
                <w:bCs/>
                <w:sz w:val="16"/>
                <w:szCs w:val="16"/>
                <w:lang w:eastAsia="en-GB"/>
              </w:rPr>
            </w:pPr>
            <w:r w:rsidRPr="00833B81">
              <w:rPr>
                <w:rFonts w:cs="Arial"/>
                <w:b/>
                <w:bCs/>
                <w:sz w:val="16"/>
                <w:szCs w:val="16"/>
                <w:lang w:eastAsia="en-GB"/>
              </w:rPr>
              <w:t>0.000</w:t>
            </w:r>
          </w:p>
        </w:tc>
        <w:tc>
          <w:tcPr>
            <w:tcW w:w="1038"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rsidR="00E2507D" w:rsidRPr="00833B81" w:rsidP="00E2507D">
            <w:pPr>
              <w:autoSpaceDE/>
              <w:autoSpaceDN/>
              <w:adjustRightInd/>
              <w:spacing w:after="0"/>
              <w:jc w:val="center"/>
              <w:rPr>
                <w:rFonts w:cs="Arial"/>
                <w:b/>
                <w:bCs/>
                <w:sz w:val="16"/>
                <w:szCs w:val="16"/>
                <w:lang w:eastAsia="en-GB"/>
              </w:rPr>
            </w:pPr>
            <w:r w:rsidRPr="00833B81">
              <w:rPr>
                <w:rFonts w:cs="Arial"/>
                <w:b/>
                <w:bCs/>
                <w:sz w:val="16"/>
                <w:szCs w:val="16"/>
                <w:lang w:eastAsia="en-GB"/>
              </w:rPr>
              <w:t>0.000</w:t>
            </w:r>
          </w:p>
        </w:tc>
        <w:tc>
          <w:tcPr>
            <w:tcW w:w="961"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rsidR="00E2507D" w:rsidRPr="00833B81" w:rsidP="00E2507D">
            <w:pPr>
              <w:autoSpaceDE/>
              <w:autoSpaceDN/>
              <w:adjustRightInd/>
              <w:spacing w:after="0"/>
              <w:jc w:val="center"/>
              <w:rPr>
                <w:rFonts w:cs="Arial"/>
                <w:b/>
                <w:bCs/>
                <w:sz w:val="16"/>
                <w:szCs w:val="16"/>
                <w:lang w:eastAsia="en-GB"/>
              </w:rPr>
            </w:pPr>
            <w:r w:rsidRPr="00833B81">
              <w:rPr>
                <w:rFonts w:cs="Arial"/>
                <w:b/>
                <w:bCs/>
                <w:sz w:val="16"/>
                <w:szCs w:val="16"/>
                <w:lang w:eastAsia="en-GB"/>
              </w:rPr>
              <w:t>-23.437</w:t>
            </w:r>
          </w:p>
        </w:tc>
        <w:tc>
          <w:tcPr>
            <w:tcW w:w="88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rsidR="00E2507D" w:rsidRPr="00833B81" w:rsidP="00E2507D">
            <w:pPr>
              <w:autoSpaceDE/>
              <w:autoSpaceDN/>
              <w:adjustRightInd/>
              <w:spacing w:after="0"/>
              <w:jc w:val="center"/>
              <w:rPr>
                <w:rFonts w:cs="Arial"/>
                <w:b/>
                <w:bCs/>
                <w:sz w:val="16"/>
                <w:szCs w:val="16"/>
                <w:lang w:eastAsia="en-GB"/>
              </w:rPr>
            </w:pPr>
            <w:r w:rsidRPr="00833B81">
              <w:rPr>
                <w:rFonts w:cs="Arial"/>
                <w:b/>
                <w:bCs/>
                <w:sz w:val="16"/>
                <w:szCs w:val="16"/>
                <w:lang w:eastAsia="en-GB"/>
              </w:rPr>
              <w:t>0.000</w:t>
            </w:r>
          </w:p>
        </w:tc>
        <w:tc>
          <w:tcPr>
            <w:tcW w:w="88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rsidR="00E2507D" w:rsidRPr="00833B81" w:rsidP="00E2507D">
            <w:pPr>
              <w:autoSpaceDE/>
              <w:autoSpaceDN/>
              <w:adjustRightInd/>
              <w:spacing w:after="0"/>
              <w:jc w:val="center"/>
              <w:rPr>
                <w:rFonts w:cs="Arial"/>
                <w:b/>
                <w:bCs/>
                <w:sz w:val="16"/>
                <w:szCs w:val="16"/>
                <w:lang w:eastAsia="en-GB"/>
              </w:rPr>
            </w:pPr>
            <w:r w:rsidRPr="00833B81">
              <w:rPr>
                <w:rFonts w:cs="Arial"/>
                <w:b/>
                <w:bCs/>
                <w:sz w:val="16"/>
                <w:szCs w:val="16"/>
                <w:lang w:eastAsia="en-GB"/>
              </w:rPr>
              <w:t>0.000</w:t>
            </w:r>
          </w:p>
        </w:tc>
        <w:tc>
          <w:tcPr>
            <w:tcW w:w="88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rsidR="00E2507D" w:rsidRPr="00833B81" w:rsidP="00E2507D">
            <w:pPr>
              <w:autoSpaceDE/>
              <w:autoSpaceDN/>
              <w:adjustRightInd/>
              <w:spacing w:after="0"/>
              <w:jc w:val="center"/>
              <w:rPr>
                <w:rFonts w:cs="Arial"/>
                <w:b/>
                <w:bCs/>
                <w:sz w:val="16"/>
                <w:szCs w:val="16"/>
                <w:lang w:eastAsia="en-GB"/>
              </w:rPr>
            </w:pPr>
            <w:r w:rsidRPr="00833B81">
              <w:rPr>
                <w:rFonts w:cs="Arial"/>
                <w:b/>
                <w:bCs/>
                <w:sz w:val="16"/>
                <w:szCs w:val="16"/>
                <w:lang w:eastAsia="en-GB"/>
              </w:rPr>
              <w:t>-23.437</w:t>
            </w:r>
          </w:p>
        </w:tc>
      </w:tr>
      <w:tr w:rsidTr="00E2507D">
        <w:tblPrEx>
          <w:tblW w:w="9857" w:type="dxa"/>
          <w:tblInd w:w="-548" w:type="dxa"/>
          <w:tblCellMar>
            <w:left w:w="0" w:type="dxa"/>
            <w:right w:w="0" w:type="dxa"/>
          </w:tblCellMar>
          <w:tblLook w:val="04A0"/>
        </w:tblPrEx>
        <w:trPr>
          <w:trHeight w:val="562"/>
        </w:trPr>
        <w:tc>
          <w:tcPr>
            <w:tcW w:w="2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07D" w:rsidRPr="00833B81" w:rsidP="00E2507D">
            <w:pPr>
              <w:autoSpaceDE/>
              <w:autoSpaceDN/>
              <w:adjustRightInd/>
              <w:spacing w:after="0"/>
              <w:jc w:val="left"/>
              <w:rPr>
                <w:rFonts w:cs="Arial"/>
                <w:sz w:val="16"/>
                <w:szCs w:val="16"/>
                <w:lang w:eastAsia="en-GB"/>
              </w:rPr>
            </w:pPr>
            <w:r w:rsidRPr="00833B81">
              <w:rPr>
                <w:rFonts w:cs="Arial"/>
                <w:sz w:val="16"/>
                <w:szCs w:val="16"/>
                <w:lang w:eastAsia="en-GB"/>
              </w:rPr>
              <w:t>Strategic Investment Reserve</w:t>
            </w:r>
          </w:p>
        </w:tc>
        <w:tc>
          <w:tcPr>
            <w:tcW w:w="14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2507D" w:rsidRPr="00833B81" w:rsidP="00E2507D">
            <w:pPr>
              <w:autoSpaceDE/>
              <w:autoSpaceDN/>
              <w:adjustRightInd/>
              <w:spacing w:after="0"/>
              <w:jc w:val="center"/>
              <w:rPr>
                <w:rFonts w:cs="Arial"/>
                <w:sz w:val="16"/>
                <w:szCs w:val="16"/>
                <w:lang w:eastAsia="en-GB"/>
              </w:rPr>
            </w:pPr>
            <w:r w:rsidRPr="00833B81">
              <w:rPr>
                <w:rFonts w:cs="Arial"/>
                <w:sz w:val="16"/>
                <w:szCs w:val="16"/>
                <w:lang w:eastAsia="en-GB"/>
              </w:rPr>
              <w:t>-2.096</w:t>
            </w:r>
          </w:p>
        </w:tc>
        <w:tc>
          <w:tcPr>
            <w:tcW w:w="11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2507D" w:rsidRPr="00833B81" w:rsidP="00E2507D">
            <w:pPr>
              <w:autoSpaceDE/>
              <w:autoSpaceDN/>
              <w:adjustRightInd/>
              <w:spacing w:after="0"/>
              <w:jc w:val="center"/>
              <w:rPr>
                <w:rFonts w:cs="Arial"/>
                <w:sz w:val="16"/>
                <w:szCs w:val="16"/>
                <w:lang w:eastAsia="en-GB"/>
              </w:rPr>
            </w:pPr>
            <w:r w:rsidRPr="00833B81">
              <w:rPr>
                <w:rFonts w:cs="Arial"/>
                <w:sz w:val="16"/>
                <w:szCs w:val="16"/>
                <w:lang w:eastAsia="en-GB"/>
              </w:rPr>
              <w:t>-3.723</w:t>
            </w:r>
          </w:p>
        </w:tc>
        <w:tc>
          <w:tcPr>
            <w:tcW w:w="10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2507D" w:rsidRPr="00833B81" w:rsidP="00E2507D">
            <w:pPr>
              <w:autoSpaceDE/>
              <w:autoSpaceDN/>
              <w:adjustRightInd/>
              <w:spacing w:after="0"/>
              <w:jc w:val="center"/>
              <w:rPr>
                <w:rFonts w:cs="Arial"/>
                <w:sz w:val="16"/>
                <w:szCs w:val="16"/>
                <w:lang w:eastAsia="en-GB"/>
              </w:rPr>
            </w:pPr>
            <w:r w:rsidRPr="00833B81">
              <w:rPr>
                <w:rFonts w:cs="Arial"/>
                <w:sz w:val="16"/>
                <w:szCs w:val="16"/>
                <w:lang w:eastAsia="en-GB"/>
              </w:rPr>
              <w:t>0.000</w:t>
            </w:r>
          </w:p>
        </w:tc>
        <w:tc>
          <w:tcPr>
            <w:tcW w:w="961"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rsidR="00E2507D" w:rsidRPr="00833B81" w:rsidP="00E2507D">
            <w:pPr>
              <w:autoSpaceDE/>
              <w:autoSpaceDN/>
              <w:adjustRightInd/>
              <w:spacing w:after="0"/>
              <w:jc w:val="center"/>
              <w:rPr>
                <w:rFonts w:cs="Arial"/>
                <w:sz w:val="16"/>
                <w:szCs w:val="16"/>
                <w:lang w:eastAsia="en-GB"/>
              </w:rPr>
            </w:pPr>
            <w:r w:rsidRPr="00833B81">
              <w:rPr>
                <w:rFonts w:cs="Arial"/>
                <w:sz w:val="16"/>
                <w:szCs w:val="16"/>
                <w:lang w:eastAsia="en-GB"/>
              </w:rPr>
              <w:t>-5.819</w:t>
            </w:r>
          </w:p>
        </w:tc>
        <w:tc>
          <w:tcPr>
            <w:tcW w:w="8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2507D" w:rsidRPr="00833B81" w:rsidP="00E2507D">
            <w:pPr>
              <w:autoSpaceDE/>
              <w:autoSpaceDN/>
              <w:adjustRightInd/>
              <w:spacing w:after="0"/>
              <w:jc w:val="center"/>
              <w:rPr>
                <w:rFonts w:cs="Arial"/>
                <w:sz w:val="16"/>
                <w:szCs w:val="16"/>
                <w:lang w:eastAsia="en-GB"/>
              </w:rPr>
            </w:pPr>
            <w:r w:rsidRPr="00833B81">
              <w:rPr>
                <w:rFonts w:cs="Arial"/>
                <w:sz w:val="16"/>
                <w:szCs w:val="16"/>
                <w:lang w:eastAsia="en-GB"/>
              </w:rPr>
              <w:t>1.172</w:t>
            </w:r>
          </w:p>
        </w:tc>
        <w:tc>
          <w:tcPr>
            <w:tcW w:w="8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2507D" w:rsidRPr="00833B81" w:rsidP="00E2507D">
            <w:pPr>
              <w:autoSpaceDE/>
              <w:autoSpaceDN/>
              <w:adjustRightInd/>
              <w:spacing w:after="0"/>
              <w:jc w:val="center"/>
              <w:rPr>
                <w:rFonts w:cs="Arial"/>
                <w:sz w:val="16"/>
                <w:szCs w:val="16"/>
                <w:lang w:eastAsia="en-GB"/>
              </w:rPr>
            </w:pPr>
            <w:r w:rsidRPr="00833B81">
              <w:rPr>
                <w:rFonts w:cs="Arial"/>
                <w:sz w:val="16"/>
                <w:szCs w:val="16"/>
                <w:lang w:eastAsia="en-GB"/>
              </w:rPr>
              <w:t>3.257</w:t>
            </w:r>
          </w:p>
        </w:tc>
        <w:tc>
          <w:tcPr>
            <w:tcW w:w="88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rsidR="00E2507D" w:rsidRPr="00833B81" w:rsidP="00E2507D">
            <w:pPr>
              <w:autoSpaceDE/>
              <w:autoSpaceDN/>
              <w:adjustRightInd/>
              <w:spacing w:after="0"/>
              <w:jc w:val="center"/>
              <w:rPr>
                <w:rFonts w:cs="Arial"/>
                <w:sz w:val="16"/>
                <w:szCs w:val="16"/>
                <w:lang w:eastAsia="en-GB"/>
              </w:rPr>
            </w:pPr>
            <w:r w:rsidRPr="00833B81">
              <w:rPr>
                <w:rFonts w:cs="Arial"/>
                <w:sz w:val="16"/>
                <w:szCs w:val="16"/>
                <w:lang w:eastAsia="en-GB"/>
              </w:rPr>
              <w:t>-1.390</w:t>
            </w:r>
          </w:p>
        </w:tc>
      </w:tr>
      <w:tr w:rsidTr="00E2507D">
        <w:tblPrEx>
          <w:tblW w:w="9857" w:type="dxa"/>
          <w:tblInd w:w="-548" w:type="dxa"/>
          <w:tblCellMar>
            <w:left w:w="0" w:type="dxa"/>
            <w:right w:w="0" w:type="dxa"/>
          </w:tblCellMar>
          <w:tblLook w:val="04A0"/>
        </w:tblPrEx>
        <w:trPr>
          <w:trHeight w:val="562"/>
        </w:trPr>
        <w:tc>
          <w:tcPr>
            <w:tcW w:w="2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07D" w:rsidRPr="00833B81" w:rsidP="00E2507D">
            <w:pPr>
              <w:autoSpaceDE/>
              <w:autoSpaceDN/>
              <w:adjustRightInd/>
              <w:spacing w:after="0"/>
              <w:jc w:val="left"/>
              <w:rPr>
                <w:rFonts w:cs="Arial"/>
                <w:sz w:val="16"/>
                <w:szCs w:val="16"/>
                <w:lang w:eastAsia="en-GB"/>
              </w:rPr>
            </w:pPr>
            <w:r w:rsidRPr="00833B81">
              <w:rPr>
                <w:rFonts w:cs="Arial"/>
                <w:sz w:val="16"/>
                <w:szCs w:val="16"/>
                <w:lang w:eastAsia="en-GB"/>
              </w:rPr>
              <w:t>COVID-19 Reserve</w:t>
            </w:r>
          </w:p>
        </w:tc>
        <w:tc>
          <w:tcPr>
            <w:tcW w:w="14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2507D" w:rsidRPr="00833B81" w:rsidP="00E2507D">
            <w:pPr>
              <w:autoSpaceDE/>
              <w:autoSpaceDN/>
              <w:adjustRightInd/>
              <w:spacing w:after="0"/>
              <w:jc w:val="center"/>
              <w:rPr>
                <w:rFonts w:cs="Arial"/>
                <w:sz w:val="16"/>
                <w:szCs w:val="16"/>
                <w:lang w:eastAsia="en-GB"/>
              </w:rPr>
            </w:pPr>
            <w:r w:rsidRPr="00833B81">
              <w:rPr>
                <w:rFonts w:cs="Arial"/>
                <w:sz w:val="16"/>
                <w:szCs w:val="16"/>
                <w:lang w:eastAsia="en-GB"/>
              </w:rPr>
              <w:t>0.000</w:t>
            </w:r>
          </w:p>
        </w:tc>
        <w:tc>
          <w:tcPr>
            <w:tcW w:w="11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2507D" w:rsidRPr="00833B81" w:rsidP="00E2507D">
            <w:pPr>
              <w:autoSpaceDE/>
              <w:autoSpaceDN/>
              <w:adjustRightInd/>
              <w:spacing w:after="0"/>
              <w:jc w:val="center"/>
              <w:rPr>
                <w:rFonts w:cs="Arial"/>
                <w:sz w:val="16"/>
                <w:szCs w:val="16"/>
                <w:lang w:eastAsia="en-GB"/>
              </w:rPr>
            </w:pPr>
            <w:r w:rsidRPr="00833B81">
              <w:rPr>
                <w:rFonts w:cs="Arial"/>
                <w:sz w:val="16"/>
                <w:szCs w:val="16"/>
                <w:lang w:eastAsia="en-GB"/>
              </w:rPr>
              <w:t>-33.961</w:t>
            </w:r>
          </w:p>
        </w:tc>
        <w:tc>
          <w:tcPr>
            <w:tcW w:w="10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2507D" w:rsidRPr="00833B81" w:rsidP="00E2507D">
            <w:pPr>
              <w:autoSpaceDE/>
              <w:autoSpaceDN/>
              <w:adjustRightInd/>
              <w:spacing w:after="0"/>
              <w:jc w:val="center"/>
              <w:rPr>
                <w:rFonts w:cs="Arial"/>
                <w:sz w:val="16"/>
                <w:szCs w:val="16"/>
                <w:lang w:eastAsia="en-GB"/>
              </w:rPr>
            </w:pPr>
            <w:r w:rsidRPr="00833B81">
              <w:rPr>
                <w:rFonts w:cs="Arial"/>
                <w:sz w:val="16"/>
                <w:szCs w:val="16"/>
                <w:lang w:eastAsia="en-GB"/>
              </w:rPr>
              <w:t>0.000</w:t>
            </w:r>
          </w:p>
        </w:tc>
        <w:tc>
          <w:tcPr>
            <w:tcW w:w="961"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rsidR="00E2507D" w:rsidRPr="00833B81" w:rsidP="00E2507D">
            <w:pPr>
              <w:autoSpaceDE/>
              <w:autoSpaceDN/>
              <w:adjustRightInd/>
              <w:spacing w:after="0"/>
              <w:jc w:val="center"/>
              <w:rPr>
                <w:rFonts w:cs="Arial"/>
                <w:sz w:val="16"/>
                <w:szCs w:val="16"/>
                <w:lang w:eastAsia="en-GB"/>
              </w:rPr>
            </w:pPr>
            <w:r w:rsidRPr="00833B81">
              <w:rPr>
                <w:rFonts w:cs="Arial"/>
                <w:sz w:val="16"/>
                <w:szCs w:val="16"/>
                <w:lang w:eastAsia="en-GB"/>
              </w:rPr>
              <w:t>-33.961</w:t>
            </w:r>
          </w:p>
        </w:tc>
        <w:tc>
          <w:tcPr>
            <w:tcW w:w="8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2507D" w:rsidRPr="00833B81" w:rsidP="00E2507D">
            <w:pPr>
              <w:autoSpaceDE/>
              <w:autoSpaceDN/>
              <w:adjustRightInd/>
              <w:spacing w:after="0"/>
              <w:jc w:val="center"/>
              <w:rPr>
                <w:rFonts w:cs="Arial"/>
                <w:sz w:val="16"/>
                <w:szCs w:val="16"/>
                <w:lang w:eastAsia="en-GB"/>
              </w:rPr>
            </w:pPr>
            <w:r w:rsidRPr="00833B81">
              <w:rPr>
                <w:rFonts w:cs="Arial"/>
                <w:sz w:val="16"/>
                <w:szCs w:val="16"/>
                <w:lang w:eastAsia="en-GB"/>
              </w:rPr>
              <w:t>33.961</w:t>
            </w:r>
          </w:p>
        </w:tc>
        <w:tc>
          <w:tcPr>
            <w:tcW w:w="8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2507D" w:rsidRPr="00833B81" w:rsidP="00E2507D">
            <w:pPr>
              <w:autoSpaceDE/>
              <w:autoSpaceDN/>
              <w:adjustRightInd/>
              <w:spacing w:after="0"/>
              <w:jc w:val="center"/>
              <w:rPr>
                <w:rFonts w:cs="Arial"/>
                <w:sz w:val="16"/>
                <w:szCs w:val="16"/>
                <w:lang w:eastAsia="en-GB"/>
              </w:rPr>
            </w:pPr>
            <w:r w:rsidRPr="00833B81">
              <w:rPr>
                <w:rFonts w:cs="Arial"/>
                <w:sz w:val="16"/>
                <w:szCs w:val="16"/>
                <w:lang w:eastAsia="en-GB"/>
              </w:rPr>
              <w:t>0.000</w:t>
            </w:r>
          </w:p>
        </w:tc>
        <w:tc>
          <w:tcPr>
            <w:tcW w:w="88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rsidR="00E2507D" w:rsidRPr="00833B81" w:rsidP="00E2507D">
            <w:pPr>
              <w:autoSpaceDE/>
              <w:autoSpaceDN/>
              <w:adjustRightInd/>
              <w:spacing w:after="0"/>
              <w:jc w:val="center"/>
              <w:rPr>
                <w:rFonts w:cs="Arial"/>
                <w:sz w:val="16"/>
                <w:szCs w:val="16"/>
                <w:lang w:eastAsia="en-GB"/>
              </w:rPr>
            </w:pPr>
            <w:r w:rsidRPr="00833B81">
              <w:rPr>
                <w:rFonts w:cs="Arial"/>
                <w:sz w:val="16"/>
                <w:szCs w:val="16"/>
                <w:lang w:eastAsia="en-GB"/>
              </w:rPr>
              <w:t>0.000</w:t>
            </w:r>
          </w:p>
        </w:tc>
      </w:tr>
      <w:tr w:rsidTr="00E2507D">
        <w:tblPrEx>
          <w:tblW w:w="9857" w:type="dxa"/>
          <w:tblInd w:w="-548" w:type="dxa"/>
          <w:tblCellMar>
            <w:left w:w="0" w:type="dxa"/>
            <w:right w:w="0" w:type="dxa"/>
          </w:tblCellMar>
          <w:tblLook w:val="04A0"/>
        </w:tblPrEx>
        <w:trPr>
          <w:trHeight w:val="562"/>
        </w:trPr>
        <w:tc>
          <w:tcPr>
            <w:tcW w:w="2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07D" w:rsidRPr="00833B81" w:rsidP="00E2507D">
            <w:pPr>
              <w:autoSpaceDE/>
              <w:autoSpaceDN/>
              <w:adjustRightInd/>
              <w:spacing w:after="0"/>
              <w:jc w:val="left"/>
              <w:rPr>
                <w:rFonts w:cs="Arial"/>
                <w:sz w:val="16"/>
                <w:szCs w:val="16"/>
                <w:lang w:eastAsia="en-GB"/>
              </w:rPr>
            </w:pPr>
            <w:r w:rsidRPr="00833B81">
              <w:rPr>
                <w:rFonts w:cs="Arial"/>
                <w:sz w:val="16"/>
                <w:szCs w:val="16"/>
                <w:lang w:eastAsia="en-GB"/>
              </w:rPr>
              <w:t>Downsizing Reserve</w:t>
            </w:r>
          </w:p>
        </w:tc>
        <w:tc>
          <w:tcPr>
            <w:tcW w:w="14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2507D" w:rsidRPr="00833B81" w:rsidP="00E2507D">
            <w:pPr>
              <w:autoSpaceDE/>
              <w:autoSpaceDN/>
              <w:adjustRightInd/>
              <w:spacing w:after="0"/>
              <w:jc w:val="center"/>
              <w:rPr>
                <w:rFonts w:cs="Arial"/>
                <w:sz w:val="16"/>
                <w:szCs w:val="16"/>
                <w:lang w:eastAsia="en-GB"/>
              </w:rPr>
            </w:pPr>
            <w:r w:rsidRPr="00833B81">
              <w:rPr>
                <w:rFonts w:cs="Arial"/>
                <w:sz w:val="16"/>
                <w:szCs w:val="16"/>
                <w:lang w:eastAsia="en-GB"/>
              </w:rPr>
              <w:t>-7.445</w:t>
            </w:r>
          </w:p>
        </w:tc>
        <w:tc>
          <w:tcPr>
            <w:tcW w:w="11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2507D" w:rsidRPr="00833B81" w:rsidP="00E2507D">
            <w:pPr>
              <w:autoSpaceDE/>
              <w:autoSpaceDN/>
              <w:adjustRightInd/>
              <w:spacing w:after="0"/>
              <w:jc w:val="center"/>
              <w:rPr>
                <w:rFonts w:cs="Arial"/>
                <w:sz w:val="16"/>
                <w:szCs w:val="16"/>
                <w:lang w:eastAsia="en-GB"/>
              </w:rPr>
            </w:pPr>
            <w:r w:rsidRPr="00833B81">
              <w:rPr>
                <w:rFonts w:cs="Arial"/>
                <w:sz w:val="16"/>
                <w:szCs w:val="16"/>
                <w:lang w:eastAsia="en-GB"/>
              </w:rPr>
              <w:t>1.802</w:t>
            </w:r>
          </w:p>
        </w:tc>
        <w:tc>
          <w:tcPr>
            <w:tcW w:w="10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2507D" w:rsidRPr="00833B81" w:rsidP="00E2507D">
            <w:pPr>
              <w:autoSpaceDE/>
              <w:autoSpaceDN/>
              <w:adjustRightInd/>
              <w:spacing w:after="0"/>
              <w:jc w:val="center"/>
              <w:rPr>
                <w:rFonts w:cs="Arial"/>
                <w:sz w:val="16"/>
                <w:szCs w:val="16"/>
                <w:lang w:eastAsia="en-GB"/>
              </w:rPr>
            </w:pPr>
            <w:r w:rsidRPr="00833B81">
              <w:rPr>
                <w:rFonts w:cs="Arial"/>
                <w:sz w:val="16"/>
                <w:szCs w:val="16"/>
                <w:lang w:eastAsia="en-GB"/>
              </w:rPr>
              <w:t>0.000</w:t>
            </w:r>
          </w:p>
        </w:tc>
        <w:tc>
          <w:tcPr>
            <w:tcW w:w="961"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rsidR="00E2507D" w:rsidRPr="00833B81" w:rsidP="00E2507D">
            <w:pPr>
              <w:autoSpaceDE/>
              <w:autoSpaceDN/>
              <w:adjustRightInd/>
              <w:spacing w:after="0"/>
              <w:jc w:val="center"/>
              <w:rPr>
                <w:rFonts w:cs="Arial"/>
                <w:sz w:val="16"/>
                <w:szCs w:val="16"/>
                <w:lang w:eastAsia="en-GB"/>
              </w:rPr>
            </w:pPr>
            <w:r w:rsidRPr="00833B81">
              <w:rPr>
                <w:rFonts w:cs="Arial"/>
                <w:sz w:val="16"/>
                <w:szCs w:val="16"/>
                <w:lang w:eastAsia="en-GB"/>
              </w:rPr>
              <w:t>-5.642</w:t>
            </w:r>
          </w:p>
        </w:tc>
        <w:tc>
          <w:tcPr>
            <w:tcW w:w="8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2507D" w:rsidRPr="00833B81" w:rsidP="00E2507D">
            <w:pPr>
              <w:autoSpaceDE/>
              <w:autoSpaceDN/>
              <w:adjustRightInd/>
              <w:spacing w:after="0"/>
              <w:jc w:val="center"/>
              <w:rPr>
                <w:rFonts w:cs="Arial"/>
                <w:sz w:val="16"/>
                <w:szCs w:val="16"/>
                <w:lang w:eastAsia="en-GB"/>
              </w:rPr>
            </w:pPr>
            <w:r w:rsidRPr="00833B81">
              <w:rPr>
                <w:rFonts w:cs="Arial"/>
                <w:sz w:val="16"/>
                <w:szCs w:val="16"/>
                <w:lang w:eastAsia="en-GB"/>
              </w:rPr>
              <w:t>5.642</w:t>
            </w:r>
          </w:p>
        </w:tc>
        <w:tc>
          <w:tcPr>
            <w:tcW w:w="8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2507D" w:rsidRPr="00833B81" w:rsidP="00E2507D">
            <w:pPr>
              <w:autoSpaceDE/>
              <w:autoSpaceDN/>
              <w:adjustRightInd/>
              <w:spacing w:after="0"/>
              <w:jc w:val="center"/>
              <w:rPr>
                <w:rFonts w:cs="Arial"/>
                <w:sz w:val="16"/>
                <w:szCs w:val="16"/>
                <w:lang w:eastAsia="en-GB"/>
              </w:rPr>
            </w:pPr>
            <w:r w:rsidRPr="00833B81">
              <w:rPr>
                <w:rFonts w:cs="Arial"/>
                <w:sz w:val="16"/>
                <w:szCs w:val="16"/>
                <w:lang w:eastAsia="en-GB"/>
              </w:rPr>
              <w:t>0.000</w:t>
            </w:r>
          </w:p>
        </w:tc>
        <w:tc>
          <w:tcPr>
            <w:tcW w:w="88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rsidR="00E2507D" w:rsidRPr="00833B81" w:rsidP="00E2507D">
            <w:pPr>
              <w:autoSpaceDE/>
              <w:autoSpaceDN/>
              <w:adjustRightInd/>
              <w:spacing w:after="0"/>
              <w:jc w:val="center"/>
              <w:rPr>
                <w:rFonts w:cs="Arial"/>
                <w:sz w:val="16"/>
                <w:szCs w:val="16"/>
                <w:lang w:eastAsia="en-GB"/>
              </w:rPr>
            </w:pPr>
            <w:r w:rsidRPr="00833B81">
              <w:rPr>
                <w:rFonts w:cs="Arial"/>
                <w:sz w:val="16"/>
                <w:szCs w:val="16"/>
                <w:lang w:eastAsia="en-GB"/>
              </w:rPr>
              <w:t>0.000</w:t>
            </w:r>
          </w:p>
        </w:tc>
      </w:tr>
      <w:tr w:rsidTr="00E2507D">
        <w:tblPrEx>
          <w:tblW w:w="9857" w:type="dxa"/>
          <w:tblInd w:w="-548" w:type="dxa"/>
          <w:tblCellMar>
            <w:left w:w="0" w:type="dxa"/>
            <w:right w:w="0" w:type="dxa"/>
          </w:tblCellMar>
          <w:tblLook w:val="04A0"/>
        </w:tblPrEx>
        <w:trPr>
          <w:trHeight w:val="562"/>
        </w:trPr>
        <w:tc>
          <w:tcPr>
            <w:tcW w:w="2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07D" w:rsidRPr="00833B81" w:rsidP="00E2507D">
            <w:pPr>
              <w:autoSpaceDE/>
              <w:autoSpaceDN/>
              <w:adjustRightInd/>
              <w:spacing w:after="0"/>
              <w:jc w:val="left"/>
              <w:rPr>
                <w:rFonts w:cs="Arial"/>
                <w:sz w:val="16"/>
                <w:szCs w:val="16"/>
                <w:lang w:eastAsia="en-GB"/>
              </w:rPr>
            </w:pPr>
            <w:r w:rsidRPr="00833B81">
              <w:rPr>
                <w:rFonts w:cs="Arial"/>
                <w:sz w:val="16"/>
                <w:szCs w:val="16"/>
                <w:lang w:eastAsia="en-GB"/>
              </w:rPr>
              <w:t xml:space="preserve">Risk Management Reserve </w:t>
            </w:r>
          </w:p>
        </w:tc>
        <w:tc>
          <w:tcPr>
            <w:tcW w:w="14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2507D" w:rsidRPr="00833B81" w:rsidP="00E2507D">
            <w:pPr>
              <w:autoSpaceDE/>
              <w:autoSpaceDN/>
              <w:adjustRightInd/>
              <w:spacing w:after="0"/>
              <w:jc w:val="center"/>
              <w:rPr>
                <w:rFonts w:cs="Arial"/>
                <w:sz w:val="16"/>
                <w:szCs w:val="16"/>
                <w:lang w:eastAsia="en-GB"/>
              </w:rPr>
            </w:pPr>
            <w:r w:rsidRPr="00833B81">
              <w:rPr>
                <w:rFonts w:cs="Arial"/>
                <w:sz w:val="16"/>
                <w:szCs w:val="16"/>
                <w:lang w:eastAsia="en-GB"/>
              </w:rPr>
              <w:t>-2.804</w:t>
            </w:r>
          </w:p>
        </w:tc>
        <w:tc>
          <w:tcPr>
            <w:tcW w:w="11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2507D" w:rsidRPr="00833B81" w:rsidP="00E2507D">
            <w:pPr>
              <w:autoSpaceDE/>
              <w:autoSpaceDN/>
              <w:adjustRightInd/>
              <w:spacing w:after="0"/>
              <w:jc w:val="center"/>
              <w:rPr>
                <w:rFonts w:cs="Arial"/>
                <w:sz w:val="16"/>
                <w:szCs w:val="16"/>
                <w:lang w:eastAsia="en-GB"/>
              </w:rPr>
            </w:pPr>
            <w:r w:rsidRPr="00833B81">
              <w:rPr>
                <w:rFonts w:cs="Arial"/>
                <w:sz w:val="16"/>
                <w:szCs w:val="16"/>
                <w:lang w:eastAsia="en-GB"/>
              </w:rPr>
              <w:t>0.869</w:t>
            </w:r>
          </w:p>
        </w:tc>
        <w:tc>
          <w:tcPr>
            <w:tcW w:w="10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2507D" w:rsidRPr="00833B81" w:rsidP="00E2507D">
            <w:pPr>
              <w:autoSpaceDE/>
              <w:autoSpaceDN/>
              <w:adjustRightInd/>
              <w:spacing w:after="0"/>
              <w:jc w:val="center"/>
              <w:rPr>
                <w:rFonts w:cs="Arial"/>
                <w:sz w:val="16"/>
                <w:szCs w:val="16"/>
                <w:lang w:eastAsia="en-GB"/>
              </w:rPr>
            </w:pPr>
            <w:r w:rsidRPr="00833B81">
              <w:rPr>
                <w:rFonts w:cs="Arial"/>
                <w:sz w:val="16"/>
                <w:szCs w:val="16"/>
                <w:lang w:eastAsia="en-GB"/>
              </w:rPr>
              <w:t>0.000</w:t>
            </w:r>
          </w:p>
        </w:tc>
        <w:tc>
          <w:tcPr>
            <w:tcW w:w="961"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rsidR="00E2507D" w:rsidRPr="00833B81" w:rsidP="00E2507D">
            <w:pPr>
              <w:autoSpaceDE/>
              <w:autoSpaceDN/>
              <w:adjustRightInd/>
              <w:spacing w:after="0"/>
              <w:jc w:val="center"/>
              <w:rPr>
                <w:rFonts w:cs="Arial"/>
                <w:sz w:val="16"/>
                <w:szCs w:val="16"/>
                <w:lang w:eastAsia="en-GB"/>
              </w:rPr>
            </w:pPr>
            <w:r w:rsidRPr="00833B81">
              <w:rPr>
                <w:rFonts w:cs="Arial"/>
                <w:sz w:val="16"/>
                <w:szCs w:val="16"/>
                <w:lang w:eastAsia="en-GB"/>
              </w:rPr>
              <w:t>-1.935</w:t>
            </w:r>
          </w:p>
        </w:tc>
        <w:tc>
          <w:tcPr>
            <w:tcW w:w="8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2507D" w:rsidRPr="00833B81" w:rsidP="00E2507D">
            <w:pPr>
              <w:autoSpaceDE/>
              <w:autoSpaceDN/>
              <w:adjustRightInd/>
              <w:spacing w:after="0"/>
              <w:jc w:val="center"/>
              <w:rPr>
                <w:rFonts w:cs="Arial"/>
                <w:sz w:val="16"/>
                <w:szCs w:val="16"/>
                <w:lang w:eastAsia="en-GB"/>
              </w:rPr>
            </w:pPr>
            <w:r w:rsidRPr="00833B81">
              <w:rPr>
                <w:rFonts w:cs="Arial"/>
                <w:sz w:val="16"/>
                <w:szCs w:val="16"/>
                <w:lang w:eastAsia="en-GB"/>
              </w:rPr>
              <w:t>0.910</w:t>
            </w:r>
          </w:p>
        </w:tc>
        <w:tc>
          <w:tcPr>
            <w:tcW w:w="8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2507D" w:rsidRPr="00833B81" w:rsidP="00E2507D">
            <w:pPr>
              <w:autoSpaceDE/>
              <w:autoSpaceDN/>
              <w:adjustRightInd/>
              <w:spacing w:after="0"/>
              <w:jc w:val="center"/>
              <w:rPr>
                <w:rFonts w:cs="Arial"/>
                <w:sz w:val="16"/>
                <w:szCs w:val="16"/>
                <w:lang w:eastAsia="en-GB"/>
              </w:rPr>
            </w:pPr>
            <w:r w:rsidRPr="00833B81">
              <w:rPr>
                <w:rFonts w:cs="Arial"/>
                <w:sz w:val="16"/>
                <w:szCs w:val="16"/>
                <w:lang w:eastAsia="en-GB"/>
              </w:rPr>
              <w:t>0.921</w:t>
            </w:r>
          </w:p>
        </w:tc>
        <w:tc>
          <w:tcPr>
            <w:tcW w:w="88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rsidR="00E2507D" w:rsidRPr="00833B81" w:rsidP="00E2507D">
            <w:pPr>
              <w:autoSpaceDE/>
              <w:autoSpaceDN/>
              <w:adjustRightInd/>
              <w:spacing w:after="0"/>
              <w:jc w:val="center"/>
              <w:rPr>
                <w:rFonts w:cs="Arial"/>
                <w:sz w:val="16"/>
                <w:szCs w:val="16"/>
                <w:lang w:eastAsia="en-GB"/>
              </w:rPr>
            </w:pPr>
            <w:r w:rsidRPr="00833B81">
              <w:rPr>
                <w:rFonts w:cs="Arial"/>
                <w:sz w:val="16"/>
                <w:szCs w:val="16"/>
                <w:lang w:eastAsia="en-GB"/>
              </w:rPr>
              <w:t>-0.104</w:t>
            </w:r>
          </w:p>
        </w:tc>
      </w:tr>
      <w:tr w:rsidTr="00E2507D">
        <w:tblPrEx>
          <w:tblW w:w="9857" w:type="dxa"/>
          <w:tblInd w:w="-548" w:type="dxa"/>
          <w:tblCellMar>
            <w:left w:w="0" w:type="dxa"/>
            <w:right w:w="0" w:type="dxa"/>
          </w:tblCellMar>
          <w:tblLook w:val="04A0"/>
        </w:tblPrEx>
        <w:trPr>
          <w:trHeight w:val="562"/>
        </w:trPr>
        <w:tc>
          <w:tcPr>
            <w:tcW w:w="2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07D" w:rsidRPr="00833B81" w:rsidP="00E2507D">
            <w:pPr>
              <w:autoSpaceDE/>
              <w:autoSpaceDN/>
              <w:adjustRightInd/>
              <w:spacing w:after="0"/>
              <w:jc w:val="left"/>
              <w:rPr>
                <w:rFonts w:cs="Arial"/>
                <w:sz w:val="16"/>
                <w:szCs w:val="16"/>
                <w:lang w:eastAsia="en-GB"/>
              </w:rPr>
            </w:pPr>
            <w:r w:rsidRPr="00833B81">
              <w:rPr>
                <w:rFonts w:cs="Arial"/>
                <w:sz w:val="16"/>
                <w:szCs w:val="16"/>
                <w:lang w:eastAsia="en-GB"/>
              </w:rPr>
              <w:t>Transitional Reserve</w:t>
            </w:r>
          </w:p>
        </w:tc>
        <w:tc>
          <w:tcPr>
            <w:tcW w:w="14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2507D" w:rsidRPr="00833B81" w:rsidP="00E2507D">
            <w:pPr>
              <w:autoSpaceDE/>
              <w:autoSpaceDN/>
              <w:adjustRightInd/>
              <w:spacing w:after="0"/>
              <w:jc w:val="center"/>
              <w:rPr>
                <w:rFonts w:cs="Arial"/>
                <w:sz w:val="16"/>
                <w:szCs w:val="16"/>
                <w:lang w:eastAsia="en-GB"/>
              </w:rPr>
            </w:pPr>
            <w:r w:rsidRPr="00833B81">
              <w:rPr>
                <w:rFonts w:cs="Arial"/>
                <w:sz w:val="16"/>
                <w:szCs w:val="16"/>
                <w:lang w:eastAsia="en-GB"/>
              </w:rPr>
              <w:t>-164.254</w:t>
            </w:r>
          </w:p>
        </w:tc>
        <w:tc>
          <w:tcPr>
            <w:tcW w:w="11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2507D" w:rsidRPr="00833B81" w:rsidP="00E2507D">
            <w:pPr>
              <w:autoSpaceDE/>
              <w:autoSpaceDN/>
              <w:adjustRightInd/>
              <w:spacing w:after="0"/>
              <w:jc w:val="center"/>
              <w:rPr>
                <w:rFonts w:cs="Arial"/>
                <w:sz w:val="16"/>
                <w:szCs w:val="16"/>
                <w:lang w:eastAsia="en-GB"/>
              </w:rPr>
            </w:pPr>
            <w:r w:rsidRPr="00833B81">
              <w:rPr>
                <w:rFonts w:cs="Arial"/>
                <w:sz w:val="16"/>
                <w:szCs w:val="16"/>
                <w:lang w:eastAsia="en-GB"/>
              </w:rPr>
              <w:t>10.751</w:t>
            </w:r>
          </w:p>
        </w:tc>
        <w:tc>
          <w:tcPr>
            <w:tcW w:w="10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2507D" w:rsidRPr="00833B81" w:rsidP="00E2507D">
            <w:pPr>
              <w:autoSpaceDE/>
              <w:autoSpaceDN/>
              <w:adjustRightInd/>
              <w:spacing w:after="0"/>
              <w:jc w:val="center"/>
              <w:rPr>
                <w:rFonts w:cs="Arial"/>
                <w:sz w:val="16"/>
                <w:szCs w:val="16"/>
                <w:lang w:eastAsia="en-GB"/>
              </w:rPr>
            </w:pPr>
            <w:r w:rsidRPr="00833B81">
              <w:rPr>
                <w:rFonts w:cs="Arial"/>
                <w:sz w:val="16"/>
                <w:szCs w:val="16"/>
                <w:lang w:eastAsia="en-GB"/>
              </w:rPr>
              <w:t>2.304</w:t>
            </w:r>
          </w:p>
        </w:tc>
        <w:tc>
          <w:tcPr>
            <w:tcW w:w="961"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rsidR="00E2507D" w:rsidRPr="00833B81" w:rsidP="00E2507D">
            <w:pPr>
              <w:autoSpaceDE/>
              <w:autoSpaceDN/>
              <w:adjustRightInd/>
              <w:spacing w:after="0"/>
              <w:jc w:val="center"/>
              <w:rPr>
                <w:rFonts w:cs="Arial"/>
                <w:sz w:val="16"/>
                <w:szCs w:val="16"/>
                <w:lang w:eastAsia="en-GB"/>
              </w:rPr>
            </w:pPr>
            <w:r w:rsidRPr="00833B81">
              <w:rPr>
                <w:rFonts w:cs="Arial"/>
                <w:sz w:val="16"/>
                <w:szCs w:val="16"/>
                <w:lang w:eastAsia="en-GB"/>
              </w:rPr>
              <w:t>-151.199</w:t>
            </w:r>
          </w:p>
        </w:tc>
        <w:tc>
          <w:tcPr>
            <w:tcW w:w="8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2507D" w:rsidRPr="00833B81" w:rsidP="00E2507D">
            <w:pPr>
              <w:autoSpaceDE/>
              <w:autoSpaceDN/>
              <w:adjustRightInd/>
              <w:spacing w:after="0"/>
              <w:jc w:val="center"/>
              <w:rPr>
                <w:rFonts w:cs="Arial"/>
                <w:sz w:val="16"/>
                <w:szCs w:val="16"/>
                <w:lang w:eastAsia="en-GB"/>
              </w:rPr>
            </w:pPr>
            <w:r w:rsidRPr="00833B81">
              <w:rPr>
                <w:rFonts w:cs="Arial"/>
                <w:sz w:val="16"/>
                <w:szCs w:val="16"/>
                <w:lang w:eastAsia="en-GB"/>
              </w:rPr>
              <w:t>2.895</w:t>
            </w:r>
          </w:p>
        </w:tc>
        <w:tc>
          <w:tcPr>
            <w:tcW w:w="8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2507D" w:rsidRPr="00833B81" w:rsidP="00E2507D">
            <w:pPr>
              <w:autoSpaceDE/>
              <w:autoSpaceDN/>
              <w:adjustRightInd/>
              <w:spacing w:after="0"/>
              <w:jc w:val="center"/>
              <w:rPr>
                <w:rFonts w:cs="Arial"/>
                <w:sz w:val="16"/>
                <w:szCs w:val="16"/>
                <w:lang w:eastAsia="en-GB"/>
              </w:rPr>
            </w:pPr>
            <w:r w:rsidRPr="00833B81">
              <w:rPr>
                <w:rFonts w:cs="Arial"/>
                <w:sz w:val="16"/>
                <w:szCs w:val="16"/>
                <w:lang w:eastAsia="en-GB"/>
              </w:rPr>
              <w:t>0.494</w:t>
            </w:r>
          </w:p>
        </w:tc>
        <w:tc>
          <w:tcPr>
            <w:tcW w:w="88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rsidR="00E2507D" w:rsidRPr="00833B81" w:rsidP="00E2507D">
            <w:pPr>
              <w:autoSpaceDE/>
              <w:autoSpaceDN/>
              <w:adjustRightInd/>
              <w:spacing w:after="0"/>
              <w:jc w:val="center"/>
              <w:rPr>
                <w:rFonts w:cs="Arial"/>
                <w:sz w:val="16"/>
                <w:szCs w:val="16"/>
                <w:lang w:eastAsia="en-GB"/>
              </w:rPr>
            </w:pPr>
            <w:r w:rsidRPr="00833B81">
              <w:rPr>
                <w:rFonts w:cs="Arial"/>
                <w:sz w:val="16"/>
                <w:szCs w:val="16"/>
                <w:lang w:eastAsia="en-GB"/>
              </w:rPr>
              <w:t>-147.810</w:t>
            </w:r>
          </w:p>
        </w:tc>
      </w:tr>
      <w:tr w:rsidTr="00E2507D">
        <w:tblPrEx>
          <w:tblW w:w="9857" w:type="dxa"/>
          <w:tblInd w:w="-548" w:type="dxa"/>
          <w:tblCellMar>
            <w:left w:w="0" w:type="dxa"/>
            <w:right w:w="0" w:type="dxa"/>
          </w:tblCellMar>
          <w:tblLook w:val="04A0"/>
        </w:tblPrEx>
        <w:trPr>
          <w:trHeight w:val="562"/>
        </w:trPr>
        <w:tc>
          <w:tcPr>
            <w:tcW w:w="2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07D" w:rsidRPr="00833B81" w:rsidP="00E2507D">
            <w:pPr>
              <w:autoSpaceDE/>
              <w:autoSpaceDN/>
              <w:adjustRightInd/>
              <w:spacing w:after="0"/>
              <w:jc w:val="left"/>
              <w:rPr>
                <w:rFonts w:cs="Arial"/>
                <w:sz w:val="16"/>
                <w:szCs w:val="16"/>
                <w:lang w:eastAsia="en-GB"/>
              </w:rPr>
            </w:pPr>
            <w:r w:rsidRPr="00833B81">
              <w:rPr>
                <w:rFonts w:cs="Arial"/>
                <w:sz w:val="16"/>
                <w:szCs w:val="16"/>
                <w:lang w:eastAsia="en-GB"/>
              </w:rPr>
              <w:t xml:space="preserve">Service Reserves </w:t>
            </w:r>
          </w:p>
        </w:tc>
        <w:tc>
          <w:tcPr>
            <w:tcW w:w="14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2507D" w:rsidRPr="00833B81" w:rsidP="00E2507D">
            <w:pPr>
              <w:autoSpaceDE/>
              <w:autoSpaceDN/>
              <w:adjustRightInd/>
              <w:spacing w:after="0"/>
              <w:jc w:val="center"/>
              <w:rPr>
                <w:rFonts w:cs="Arial"/>
                <w:sz w:val="16"/>
                <w:szCs w:val="16"/>
                <w:lang w:eastAsia="en-GB"/>
              </w:rPr>
            </w:pPr>
            <w:r w:rsidRPr="00833B81">
              <w:rPr>
                <w:rFonts w:cs="Arial"/>
                <w:sz w:val="16"/>
                <w:szCs w:val="16"/>
                <w:lang w:eastAsia="en-GB"/>
              </w:rPr>
              <w:t>-13.251</w:t>
            </w:r>
          </w:p>
        </w:tc>
        <w:tc>
          <w:tcPr>
            <w:tcW w:w="11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2507D" w:rsidRPr="00833B81" w:rsidP="00E2507D">
            <w:pPr>
              <w:autoSpaceDE/>
              <w:autoSpaceDN/>
              <w:adjustRightInd/>
              <w:spacing w:after="0"/>
              <w:jc w:val="center"/>
              <w:rPr>
                <w:rFonts w:cs="Arial"/>
                <w:sz w:val="16"/>
                <w:szCs w:val="16"/>
                <w:lang w:eastAsia="en-GB"/>
              </w:rPr>
            </w:pPr>
            <w:r w:rsidRPr="00833B81">
              <w:rPr>
                <w:rFonts w:cs="Arial"/>
                <w:sz w:val="16"/>
                <w:szCs w:val="16"/>
                <w:lang w:eastAsia="en-GB"/>
              </w:rPr>
              <w:t>-1.432</w:t>
            </w:r>
          </w:p>
        </w:tc>
        <w:tc>
          <w:tcPr>
            <w:tcW w:w="10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2507D" w:rsidRPr="00833B81" w:rsidP="00E2507D">
            <w:pPr>
              <w:autoSpaceDE/>
              <w:autoSpaceDN/>
              <w:adjustRightInd/>
              <w:spacing w:after="0"/>
              <w:jc w:val="center"/>
              <w:rPr>
                <w:rFonts w:cs="Arial"/>
                <w:sz w:val="16"/>
                <w:szCs w:val="16"/>
                <w:lang w:eastAsia="en-GB"/>
              </w:rPr>
            </w:pPr>
            <w:r w:rsidRPr="00833B81">
              <w:rPr>
                <w:rFonts w:cs="Arial"/>
                <w:sz w:val="16"/>
                <w:szCs w:val="16"/>
                <w:lang w:eastAsia="en-GB"/>
              </w:rPr>
              <w:t>-2.242</w:t>
            </w:r>
          </w:p>
        </w:tc>
        <w:tc>
          <w:tcPr>
            <w:tcW w:w="961"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rsidR="00E2507D" w:rsidRPr="00833B81" w:rsidP="00E2507D">
            <w:pPr>
              <w:autoSpaceDE/>
              <w:autoSpaceDN/>
              <w:adjustRightInd/>
              <w:spacing w:after="0"/>
              <w:jc w:val="center"/>
              <w:rPr>
                <w:rFonts w:cs="Arial"/>
                <w:sz w:val="16"/>
                <w:szCs w:val="16"/>
                <w:lang w:eastAsia="en-GB"/>
              </w:rPr>
            </w:pPr>
            <w:r w:rsidRPr="00833B81">
              <w:rPr>
                <w:rFonts w:cs="Arial"/>
                <w:sz w:val="16"/>
                <w:szCs w:val="16"/>
                <w:lang w:eastAsia="en-GB"/>
              </w:rPr>
              <w:t>-16.925</w:t>
            </w:r>
          </w:p>
        </w:tc>
        <w:tc>
          <w:tcPr>
            <w:tcW w:w="8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2507D" w:rsidRPr="00833B81" w:rsidP="00E2507D">
            <w:pPr>
              <w:autoSpaceDE/>
              <w:autoSpaceDN/>
              <w:adjustRightInd/>
              <w:spacing w:after="0"/>
              <w:jc w:val="center"/>
              <w:rPr>
                <w:rFonts w:cs="Arial"/>
                <w:sz w:val="16"/>
                <w:szCs w:val="16"/>
                <w:lang w:eastAsia="en-GB"/>
              </w:rPr>
            </w:pPr>
            <w:r w:rsidRPr="00833B81">
              <w:rPr>
                <w:rFonts w:cs="Arial"/>
                <w:sz w:val="16"/>
                <w:szCs w:val="16"/>
                <w:lang w:eastAsia="en-GB"/>
              </w:rPr>
              <w:t>13.233</w:t>
            </w:r>
          </w:p>
        </w:tc>
        <w:tc>
          <w:tcPr>
            <w:tcW w:w="8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2507D" w:rsidRPr="00833B81" w:rsidP="00E2507D">
            <w:pPr>
              <w:autoSpaceDE/>
              <w:autoSpaceDN/>
              <w:adjustRightInd/>
              <w:spacing w:after="0"/>
              <w:jc w:val="center"/>
              <w:rPr>
                <w:rFonts w:cs="Arial"/>
                <w:sz w:val="16"/>
                <w:szCs w:val="16"/>
                <w:lang w:eastAsia="en-GB"/>
              </w:rPr>
            </w:pPr>
            <w:r w:rsidRPr="00833B81">
              <w:rPr>
                <w:rFonts w:cs="Arial"/>
                <w:sz w:val="16"/>
                <w:szCs w:val="16"/>
                <w:lang w:eastAsia="en-GB"/>
              </w:rPr>
              <w:t>2.762</w:t>
            </w:r>
          </w:p>
        </w:tc>
        <w:tc>
          <w:tcPr>
            <w:tcW w:w="88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rsidR="00E2507D" w:rsidRPr="00833B81" w:rsidP="00E2507D">
            <w:pPr>
              <w:autoSpaceDE/>
              <w:autoSpaceDN/>
              <w:adjustRightInd/>
              <w:spacing w:after="0"/>
              <w:jc w:val="center"/>
              <w:rPr>
                <w:rFonts w:cs="Arial"/>
                <w:sz w:val="16"/>
                <w:szCs w:val="16"/>
                <w:lang w:eastAsia="en-GB"/>
              </w:rPr>
            </w:pPr>
            <w:r w:rsidRPr="00833B81">
              <w:rPr>
                <w:rFonts w:cs="Arial"/>
                <w:sz w:val="16"/>
                <w:szCs w:val="16"/>
                <w:lang w:eastAsia="en-GB"/>
              </w:rPr>
              <w:t>-0.931</w:t>
            </w:r>
          </w:p>
        </w:tc>
      </w:tr>
      <w:tr w:rsidTr="00E2507D">
        <w:tblPrEx>
          <w:tblW w:w="9857" w:type="dxa"/>
          <w:tblInd w:w="-548" w:type="dxa"/>
          <w:tblCellMar>
            <w:left w:w="0" w:type="dxa"/>
            <w:right w:w="0" w:type="dxa"/>
          </w:tblCellMar>
          <w:tblLook w:val="04A0"/>
        </w:tblPrEx>
        <w:trPr>
          <w:trHeight w:val="562"/>
        </w:trPr>
        <w:tc>
          <w:tcPr>
            <w:tcW w:w="2621"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E2507D" w:rsidRPr="00833B81" w:rsidP="00E2507D">
            <w:pPr>
              <w:autoSpaceDE/>
              <w:autoSpaceDN/>
              <w:adjustRightInd/>
              <w:spacing w:after="0"/>
              <w:jc w:val="left"/>
              <w:rPr>
                <w:rFonts w:cs="Arial"/>
                <w:sz w:val="16"/>
                <w:szCs w:val="16"/>
                <w:lang w:eastAsia="en-GB"/>
              </w:rPr>
            </w:pPr>
            <w:r w:rsidRPr="00833B81">
              <w:rPr>
                <w:rFonts w:cs="Arial"/>
                <w:sz w:val="16"/>
                <w:szCs w:val="16"/>
                <w:lang w:eastAsia="en-GB"/>
              </w:rPr>
              <w:t>Treasury Management Reserve</w:t>
            </w:r>
          </w:p>
        </w:tc>
        <w:tc>
          <w:tcPr>
            <w:tcW w:w="1426" w:type="dxa"/>
            <w:tcBorders>
              <w:top w:val="nil"/>
              <w:left w:val="nil"/>
              <w:bottom w:val="nil"/>
              <w:right w:val="single" w:sz="8" w:space="0" w:color="auto"/>
            </w:tcBorders>
            <w:noWrap/>
            <w:tcMar>
              <w:top w:w="0" w:type="dxa"/>
              <w:left w:w="108" w:type="dxa"/>
              <w:bottom w:w="0" w:type="dxa"/>
              <w:right w:w="108" w:type="dxa"/>
            </w:tcMar>
            <w:vAlign w:val="center"/>
            <w:hideMark/>
          </w:tcPr>
          <w:p w:rsidR="00E2507D" w:rsidRPr="00833B81" w:rsidP="00E2507D">
            <w:pPr>
              <w:autoSpaceDE/>
              <w:autoSpaceDN/>
              <w:adjustRightInd/>
              <w:spacing w:after="0"/>
              <w:jc w:val="center"/>
              <w:rPr>
                <w:rFonts w:cs="Arial"/>
                <w:sz w:val="16"/>
                <w:szCs w:val="16"/>
                <w:lang w:eastAsia="en-GB"/>
              </w:rPr>
            </w:pPr>
            <w:r w:rsidRPr="00833B81">
              <w:rPr>
                <w:rFonts w:cs="Arial"/>
                <w:sz w:val="16"/>
                <w:szCs w:val="16"/>
                <w:lang w:eastAsia="en-GB"/>
              </w:rPr>
              <w:t>-10.000</w:t>
            </w:r>
          </w:p>
        </w:tc>
        <w:tc>
          <w:tcPr>
            <w:tcW w:w="1162" w:type="dxa"/>
            <w:tcBorders>
              <w:top w:val="nil"/>
              <w:left w:val="nil"/>
              <w:bottom w:val="nil"/>
              <w:right w:val="single" w:sz="8" w:space="0" w:color="auto"/>
            </w:tcBorders>
            <w:noWrap/>
            <w:tcMar>
              <w:top w:w="0" w:type="dxa"/>
              <w:left w:w="108" w:type="dxa"/>
              <w:bottom w:w="0" w:type="dxa"/>
              <w:right w:w="108" w:type="dxa"/>
            </w:tcMar>
            <w:vAlign w:val="center"/>
            <w:hideMark/>
          </w:tcPr>
          <w:p w:rsidR="00E2507D" w:rsidRPr="00833B81" w:rsidP="00E2507D">
            <w:pPr>
              <w:autoSpaceDE/>
              <w:autoSpaceDN/>
              <w:adjustRightInd/>
              <w:spacing w:after="0"/>
              <w:jc w:val="center"/>
              <w:rPr>
                <w:rFonts w:cs="Arial"/>
                <w:sz w:val="16"/>
                <w:szCs w:val="16"/>
                <w:lang w:eastAsia="en-GB"/>
              </w:rPr>
            </w:pPr>
            <w:r w:rsidRPr="00833B81">
              <w:rPr>
                <w:rFonts w:cs="Arial"/>
                <w:sz w:val="16"/>
                <w:szCs w:val="16"/>
                <w:lang w:eastAsia="en-GB"/>
              </w:rPr>
              <w:t>-1.597</w:t>
            </w:r>
          </w:p>
        </w:tc>
        <w:tc>
          <w:tcPr>
            <w:tcW w:w="1038" w:type="dxa"/>
            <w:tcBorders>
              <w:top w:val="nil"/>
              <w:left w:val="nil"/>
              <w:bottom w:val="nil"/>
              <w:right w:val="single" w:sz="8" w:space="0" w:color="auto"/>
            </w:tcBorders>
            <w:noWrap/>
            <w:tcMar>
              <w:top w:w="0" w:type="dxa"/>
              <w:left w:w="108" w:type="dxa"/>
              <w:bottom w:w="0" w:type="dxa"/>
              <w:right w:w="108" w:type="dxa"/>
            </w:tcMar>
            <w:vAlign w:val="center"/>
            <w:hideMark/>
          </w:tcPr>
          <w:p w:rsidR="00E2507D" w:rsidRPr="00833B81" w:rsidP="00E2507D">
            <w:pPr>
              <w:autoSpaceDE/>
              <w:autoSpaceDN/>
              <w:adjustRightInd/>
              <w:spacing w:after="0"/>
              <w:jc w:val="center"/>
              <w:rPr>
                <w:rFonts w:cs="Arial"/>
                <w:sz w:val="16"/>
                <w:szCs w:val="16"/>
                <w:lang w:eastAsia="en-GB"/>
              </w:rPr>
            </w:pPr>
            <w:r w:rsidRPr="00833B81">
              <w:rPr>
                <w:rFonts w:cs="Arial"/>
                <w:sz w:val="16"/>
                <w:szCs w:val="16"/>
                <w:lang w:eastAsia="en-GB"/>
              </w:rPr>
              <w:t>0.000</w:t>
            </w:r>
          </w:p>
        </w:tc>
        <w:tc>
          <w:tcPr>
            <w:tcW w:w="961"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rsidR="00E2507D" w:rsidRPr="00833B81" w:rsidP="00E2507D">
            <w:pPr>
              <w:autoSpaceDE/>
              <w:autoSpaceDN/>
              <w:adjustRightInd/>
              <w:spacing w:after="0"/>
              <w:jc w:val="center"/>
              <w:rPr>
                <w:rFonts w:cs="Arial"/>
                <w:sz w:val="16"/>
                <w:szCs w:val="16"/>
                <w:lang w:eastAsia="en-GB"/>
              </w:rPr>
            </w:pPr>
            <w:r w:rsidRPr="00833B81">
              <w:rPr>
                <w:rFonts w:cs="Arial"/>
                <w:sz w:val="16"/>
                <w:szCs w:val="16"/>
                <w:lang w:eastAsia="en-GB"/>
              </w:rPr>
              <w:t>-11.597</w:t>
            </w:r>
          </w:p>
        </w:tc>
        <w:tc>
          <w:tcPr>
            <w:tcW w:w="883" w:type="dxa"/>
            <w:tcBorders>
              <w:top w:val="nil"/>
              <w:left w:val="nil"/>
              <w:bottom w:val="nil"/>
              <w:right w:val="single" w:sz="8" w:space="0" w:color="auto"/>
            </w:tcBorders>
            <w:noWrap/>
            <w:tcMar>
              <w:top w:w="0" w:type="dxa"/>
              <w:left w:w="108" w:type="dxa"/>
              <w:bottom w:w="0" w:type="dxa"/>
              <w:right w:w="108" w:type="dxa"/>
            </w:tcMar>
            <w:vAlign w:val="center"/>
            <w:hideMark/>
          </w:tcPr>
          <w:p w:rsidR="00E2507D" w:rsidRPr="00833B81" w:rsidP="00E2507D">
            <w:pPr>
              <w:autoSpaceDE/>
              <w:autoSpaceDN/>
              <w:adjustRightInd/>
              <w:spacing w:after="0"/>
              <w:jc w:val="center"/>
              <w:rPr>
                <w:rFonts w:cs="Arial"/>
                <w:sz w:val="16"/>
                <w:szCs w:val="16"/>
                <w:lang w:eastAsia="en-GB"/>
              </w:rPr>
            </w:pPr>
            <w:r w:rsidRPr="00833B81">
              <w:rPr>
                <w:rFonts w:cs="Arial"/>
                <w:sz w:val="16"/>
                <w:szCs w:val="16"/>
                <w:lang w:eastAsia="en-GB"/>
              </w:rPr>
              <w:t>0.000</w:t>
            </w:r>
          </w:p>
        </w:tc>
        <w:tc>
          <w:tcPr>
            <w:tcW w:w="883" w:type="dxa"/>
            <w:tcBorders>
              <w:top w:val="nil"/>
              <w:left w:val="nil"/>
              <w:bottom w:val="nil"/>
              <w:right w:val="single" w:sz="8" w:space="0" w:color="auto"/>
            </w:tcBorders>
            <w:noWrap/>
            <w:tcMar>
              <w:top w:w="0" w:type="dxa"/>
              <w:left w:w="108" w:type="dxa"/>
              <w:bottom w:w="0" w:type="dxa"/>
              <w:right w:w="108" w:type="dxa"/>
            </w:tcMar>
            <w:vAlign w:val="center"/>
            <w:hideMark/>
          </w:tcPr>
          <w:p w:rsidR="00E2507D" w:rsidRPr="00833B81" w:rsidP="00E2507D">
            <w:pPr>
              <w:autoSpaceDE/>
              <w:autoSpaceDN/>
              <w:adjustRightInd/>
              <w:spacing w:after="0"/>
              <w:jc w:val="center"/>
              <w:rPr>
                <w:rFonts w:cs="Arial"/>
                <w:sz w:val="16"/>
                <w:szCs w:val="16"/>
                <w:lang w:eastAsia="en-GB"/>
              </w:rPr>
            </w:pPr>
            <w:r w:rsidRPr="00833B81">
              <w:rPr>
                <w:rFonts w:cs="Arial"/>
                <w:sz w:val="16"/>
                <w:szCs w:val="16"/>
                <w:lang w:eastAsia="en-GB"/>
              </w:rPr>
              <w:t>0.000</w:t>
            </w:r>
          </w:p>
        </w:tc>
        <w:tc>
          <w:tcPr>
            <w:tcW w:w="88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rsidR="00E2507D" w:rsidRPr="00833B81" w:rsidP="00E2507D">
            <w:pPr>
              <w:autoSpaceDE/>
              <w:autoSpaceDN/>
              <w:adjustRightInd/>
              <w:spacing w:after="0"/>
              <w:jc w:val="center"/>
              <w:rPr>
                <w:rFonts w:cs="Arial"/>
                <w:sz w:val="16"/>
                <w:szCs w:val="16"/>
                <w:lang w:eastAsia="en-GB"/>
              </w:rPr>
            </w:pPr>
            <w:r w:rsidRPr="00833B81">
              <w:rPr>
                <w:rFonts w:cs="Arial"/>
                <w:sz w:val="16"/>
                <w:szCs w:val="16"/>
                <w:lang w:eastAsia="en-GB"/>
              </w:rPr>
              <w:t>-11.597</w:t>
            </w:r>
          </w:p>
        </w:tc>
      </w:tr>
      <w:tr w:rsidTr="00E2507D">
        <w:tblPrEx>
          <w:tblW w:w="9857" w:type="dxa"/>
          <w:tblInd w:w="-548" w:type="dxa"/>
          <w:tblCellMar>
            <w:left w:w="0" w:type="dxa"/>
            <w:right w:w="0" w:type="dxa"/>
          </w:tblCellMar>
          <w:tblLook w:val="04A0"/>
        </w:tblPrEx>
        <w:trPr>
          <w:trHeight w:val="562"/>
        </w:trPr>
        <w:tc>
          <w:tcPr>
            <w:tcW w:w="2621"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E2507D" w:rsidRPr="00833B81" w:rsidP="00E2507D">
            <w:pPr>
              <w:autoSpaceDE/>
              <w:autoSpaceDN/>
              <w:adjustRightInd/>
              <w:spacing w:after="0"/>
              <w:jc w:val="left"/>
              <w:rPr>
                <w:rFonts w:cs="Arial"/>
                <w:b/>
                <w:bCs/>
                <w:sz w:val="16"/>
                <w:szCs w:val="16"/>
                <w:lang w:eastAsia="en-GB"/>
              </w:rPr>
            </w:pPr>
            <w:r w:rsidRPr="00833B81">
              <w:rPr>
                <w:rFonts w:cs="Arial"/>
                <w:b/>
                <w:bCs/>
                <w:sz w:val="16"/>
                <w:szCs w:val="16"/>
                <w:lang w:eastAsia="en-GB"/>
              </w:rPr>
              <w:t>SUB TOTAL - LCC RESERVES</w:t>
            </w:r>
          </w:p>
        </w:tc>
        <w:tc>
          <w:tcPr>
            <w:tcW w:w="1426" w:type="dxa"/>
            <w:tcBorders>
              <w:top w:val="single" w:sz="8" w:space="0" w:color="auto"/>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rsidR="00E2507D" w:rsidRPr="00833B81" w:rsidP="00E2507D">
            <w:pPr>
              <w:autoSpaceDE/>
              <w:autoSpaceDN/>
              <w:adjustRightInd/>
              <w:spacing w:after="0"/>
              <w:jc w:val="center"/>
              <w:rPr>
                <w:rFonts w:cs="Arial"/>
                <w:b/>
                <w:bCs/>
                <w:sz w:val="16"/>
                <w:szCs w:val="16"/>
                <w:lang w:eastAsia="en-GB"/>
              </w:rPr>
            </w:pPr>
            <w:r w:rsidRPr="00833B81">
              <w:rPr>
                <w:rFonts w:cs="Arial"/>
                <w:b/>
                <w:bCs/>
                <w:sz w:val="16"/>
                <w:szCs w:val="16"/>
                <w:lang w:eastAsia="en-GB"/>
              </w:rPr>
              <w:t>-199.849</w:t>
            </w:r>
          </w:p>
        </w:tc>
        <w:tc>
          <w:tcPr>
            <w:tcW w:w="1162" w:type="dxa"/>
            <w:tcBorders>
              <w:top w:val="single" w:sz="8" w:space="0" w:color="auto"/>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rsidR="00E2507D" w:rsidRPr="00833B81" w:rsidP="00E2507D">
            <w:pPr>
              <w:autoSpaceDE/>
              <w:autoSpaceDN/>
              <w:adjustRightInd/>
              <w:spacing w:after="0"/>
              <w:jc w:val="center"/>
              <w:rPr>
                <w:rFonts w:cs="Arial"/>
                <w:b/>
                <w:bCs/>
                <w:sz w:val="16"/>
                <w:szCs w:val="16"/>
                <w:lang w:eastAsia="en-GB"/>
              </w:rPr>
            </w:pPr>
            <w:r w:rsidRPr="00833B81">
              <w:rPr>
                <w:rFonts w:cs="Arial"/>
                <w:b/>
                <w:bCs/>
                <w:sz w:val="16"/>
                <w:szCs w:val="16"/>
                <w:lang w:eastAsia="en-GB"/>
              </w:rPr>
              <w:t>-27.290</w:t>
            </w:r>
          </w:p>
        </w:tc>
        <w:tc>
          <w:tcPr>
            <w:tcW w:w="1038" w:type="dxa"/>
            <w:tcBorders>
              <w:top w:val="single" w:sz="8" w:space="0" w:color="auto"/>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rsidR="00E2507D" w:rsidRPr="00833B81" w:rsidP="00E2507D">
            <w:pPr>
              <w:autoSpaceDE/>
              <w:autoSpaceDN/>
              <w:adjustRightInd/>
              <w:spacing w:after="0"/>
              <w:jc w:val="center"/>
              <w:rPr>
                <w:rFonts w:cs="Arial"/>
                <w:b/>
                <w:bCs/>
                <w:sz w:val="16"/>
                <w:szCs w:val="16"/>
                <w:lang w:eastAsia="en-GB"/>
              </w:rPr>
            </w:pPr>
            <w:r w:rsidRPr="00833B81">
              <w:rPr>
                <w:rFonts w:cs="Arial"/>
                <w:b/>
                <w:bCs/>
                <w:sz w:val="16"/>
                <w:szCs w:val="16"/>
                <w:lang w:eastAsia="en-GB"/>
              </w:rPr>
              <w:t>0.062</w:t>
            </w:r>
          </w:p>
        </w:tc>
        <w:tc>
          <w:tcPr>
            <w:tcW w:w="961"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rsidR="00E2507D" w:rsidRPr="00833B81" w:rsidP="00E2507D">
            <w:pPr>
              <w:autoSpaceDE/>
              <w:autoSpaceDN/>
              <w:adjustRightInd/>
              <w:spacing w:after="0"/>
              <w:jc w:val="center"/>
              <w:rPr>
                <w:rFonts w:cs="Arial"/>
                <w:b/>
                <w:bCs/>
                <w:sz w:val="16"/>
                <w:szCs w:val="16"/>
                <w:lang w:eastAsia="en-GB"/>
              </w:rPr>
            </w:pPr>
            <w:r w:rsidRPr="00833B81">
              <w:rPr>
                <w:rFonts w:cs="Arial"/>
                <w:b/>
                <w:bCs/>
                <w:sz w:val="16"/>
                <w:szCs w:val="16"/>
                <w:lang w:eastAsia="en-GB"/>
              </w:rPr>
              <w:t>-227.077</w:t>
            </w:r>
          </w:p>
        </w:tc>
        <w:tc>
          <w:tcPr>
            <w:tcW w:w="883" w:type="dxa"/>
            <w:tcBorders>
              <w:top w:val="single" w:sz="8" w:space="0" w:color="auto"/>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rsidR="00E2507D" w:rsidRPr="00833B81" w:rsidP="00E2507D">
            <w:pPr>
              <w:autoSpaceDE/>
              <w:autoSpaceDN/>
              <w:adjustRightInd/>
              <w:spacing w:after="0"/>
              <w:jc w:val="center"/>
              <w:rPr>
                <w:rFonts w:cs="Arial"/>
                <w:b/>
                <w:bCs/>
                <w:sz w:val="16"/>
                <w:szCs w:val="16"/>
                <w:lang w:eastAsia="en-GB"/>
              </w:rPr>
            </w:pPr>
            <w:r w:rsidRPr="00833B81">
              <w:rPr>
                <w:rFonts w:cs="Arial"/>
                <w:b/>
                <w:bCs/>
                <w:sz w:val="16"/>
                <w:szCs w:val="16"/>
                <w:lang w:eastAsia="en-GB"/>
              </w:rPr>
              <w:t>57.812</w:t>
            </w:r>
          </w:p>
        </w:tc>
        <w:tc>
          <w:tcPr>
            <w:tcW w:w="883" w:type="dxa"/>
            <w:tcBorders>
              <w:top w:val="single" w:sz="8" w:space="0" w:color="auto"/>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rsidR="00E2507D" w:rsidRPr="00833B81" w:rsidP="00E2507D">
            <w:pPr>
              <w:autoSpaceDE/>
              <w:autoSpaceDN/>
              <w:adjustRightInd/>
              <w:spacing w:after="0"/>
              <w:jc w:val="center"/>
              <w:rPr>
                <w:rFonts w:cs="Arial"/>
                <w:b/>
                <w:bCs/>
                <w:sz w:val="16"/>
                <w:szCs w:val="16"/>
                <w:lang w:eastAsia="en-GB"/>
              </w:rPr>
            </w:pPr>
            <w:r w:rsidRPr="00833B81">
              <w:rPr>
                <w:rFonts w:cs="Arial"/>
                <w:b/>
                <w:bCs/>
                <w:sz w:val="16"/>
                <w:szCs w:val="16"/>
                <w:lang w:eastAsia="en-GB"/>
              </w:rPr>
              <w:t>7.433</w:t>
            </w:r>
          </w:p>
        </w:tc>
        <w:tc>
          <w:tcPr>
            <w:tcW w:w="88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rsidR="00E2507D" w:rsidRPr="00833B81" w:rsidP="00E2507D">
            <w:pPr>
              <w:autoSpaceDE/>
              <w:autoSpaceDN/>
              <w:adjustRightInd/>
              <w:spacing w:after="0"/>
              <w:jc w:val="center"/>
              <w:rPr>
                <w:rFonts w:cs="Arial"/>
                <w:b/>
                <w:bCs/>
                <w:sz w:val="16"/>
                <w:szCs w:val="16"/>
                <w:lang w:eastAsia="en-GB"/>
              </w:rPr>
            </w:pPr>
            <w:r w:rsidRPr="00833B81">
              <w:rPr>
                <w:rFonts w:cs="Arial"/>
                <w:b/>
                <w:bCs/>
                <w:sz w:val="16"/>
                <w:szCs w:val="16"/>
                <w:lang w:eastAsia="en-GB"/>
              </w:rPr>
              <w:t>-161.833</w:t>
            </w:r>
          </w:p>
        </w:tc>
      </w:tr>
      <w:tr w:rsidTr="00E2507D">
        <w:tblPrEx>
          <w:tblW w:w="9857" w:type="dxa"/>
          <w:tblInd w:w="-548" w:type="dxa"/>
          <w:tblCellMar>
            <w:left w:w="0" w:type="dxa"/>
            <w:right w:w="0" w:type="dxa"/>
          </w:tblCellMar>
          <w:tblLook w:val="04A0"/>
        </w:tblPrEx>
        <w:trPr>
          <w:trHeight w:val="562"/>
        </w:trPr>
        <w:tc>
          <w:tcPr>
            <w:tcW w:w="2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07D" w:rsidRPr="00833B81" w:rsidP="00E2507D">
            <w:pPr>
              <w:autoSpaceDE/>
              <w:autoSpaceDN/>
              <w:adjustRightInd/>
              <w:spacing w:after="0"/>
              <w:jc w:val="left"/>
              <w:rPr>
                <w:rFonts w:cs="Arial"/>
                <w:sz w:val="16"/>
                <w:szCs w:val="16"/>
                <w:lang w:eastAsia="en-GB"/>
              </w:rPr>
            </w:pPr>
            <w:r w:rsidRPr="00833B81">
              <w:rPr>
                <w:rFonts w:cs="Arial"/>
                <w:sz w:val="16"/>
                <w:szCs w:val="16"/>
                <w:lang w:eastAsia="en-GB"/>
              </w:rPr>
              <w:t>Schools/Non-LCC Service Reserves</w:t>
            </w:r>
          </w:p>
        </w:tc>
        <w:tc>
          <w:tcPr>
            <w:tcW w:w="1426" w:type="dxa"/>
            <w:tcBorders>
              <w:top w:val="nil"/>
              <w:left w:val="nil"/>
              <w:bottom w:val="nil"/>
              <w:right w:val="single" w:sz="8" w:space="0" w:color="auto"/>
            </w:tcBorders>
            <w:noWrap/>
            <w:tcMar>
              <w:top w:w="0" w:type="dxa"/>
              <w:left w:w="108" w:type="dxa"/>
              <w:bottom w:w="0" w:type="dxa"/>
              <w:right w:w="108" w:type="dxa"/>
            </w:tcMar>
            <w:vAlign w:val="center"/>
            <w:hideMark/>
          </w:tcPr>
          <w:p w:rsidR="00E2507D" w:rsidRPr="00833B81" w:rsidP="00E2507D">
            <w:pPr>
              <w:autoSpaceDE/>
              <w:autoSpaceDN/>
              <w:adjustRightInd/>
              <w:spacing w:after="0"/>
              <w:jc w:val="center"/>
              <w:rPr>
                <w:rFonts w:cs="Arial"/>
                <w:sz w:val="16"/>
                <w:szCs w:val="16"/>
                <w:lang w:eastAsia="en-GB"/>
              </w:rPr>
            </w:pPr>
            <w:r w:rsidRPr="00833B81">
              <w:rPr>
                <w:rFonts w:cs="Arial"/>
                <w:sz w:val="16"/>
                <w:szCs w:val="16"/>
                <w:lang w:eastAsia="en-GB"/>
              </w:rPr>
              <w:t>-17.528</w:t>
            </w:r>
          </w:p>
        </w:tc>
        <w:tc>
          <w:tcPr>
            <w:tcW w:w="1162" w:type="dxa"/>
            <w:tcBorders>
              <w:top w:val="nil"/>
              <w:left w:val="nil"/>
              <w:bottom w:val="nil"/>
              <w:right w:val="single" w:sz="8" w:space="0" w:color="auto"/>
            </w:tcBorders>
            <w:noWrap/>
            <w:tcMar>
              <w:top w:w="0" w:type="dxa"/>
              <w:left w:w="108" w:type="dxa"/>
              <w:bottom w:w="0" w:type="dxa"/>
              <w:right w:w="108" w:type="dxa"/>
            </w:tcMar>
            <w:vAlign w:val="center"/>
            <w:hideMark/>
          </w:tcPr>
          <w:p w:rsidR="00E2507D" w:rsidRPr="00833B81" w:rsidP="00E2507D">
            <w:pPr>
              <w:autoSpaceDE/>
              <w:autoSpaceDN/>
              <w:adjustRightInd/>
              <w:spacing w:after="0"/>
              <w:jc w:val="center"/>
              <w:rPr>
                <w:rFonts w:cs="Arial"/>
                <w:sz w:val="16"/>
                <w:szCs w:val="16"/>
                <w:lang w:eastAsia="en-GB"/>
              </w:rPr>
            </w:pPr>
            <w:r w:rsidRPr="00833B81">
              <w:rPr>
                <w:rFonts w:cs="Arial"/>
                <w:sz w:val="16"/>
                <w:szCs w:val="16"/>
                <w:lang w:eastAsia="en-GB"/>
              </w:rPr>
              <w:t>0.009</w:t>
            </w:r>
          </w:p>
        </w:tc>
        <w:tc>
          <w:tcPr>
            <w:tcW w:w="1038" w:type="dxa"/>
            <w:tcBorders>
              <w:top w:val="nil"/>
              <w:left w:val="nil"/>
              <w:bottom w:val="nil"/>
              <w:right w:val="single" w:sz="8" w:space="0" w:color="auto"/>
            </w:tcBorders>
            <w:noWrap/>
            <w:tcMar>
              <w:top w:w="0" w:type="dxa"/>
              <w:left w:w="108" w:type="dxa"/>
              <w:bottom w:w="0" w:type="dxa"/>
              <w:right w:w="108" w:type="dxa"/>
            </w:tcMar>
            <w:vAlign w:val="center"/>
            <w:hideMark/>
          </w:tcPr>
          <w:p w:rsidR="00E2507D" w:rsidRPr="00833B81" w:rsidP="00E2507D">
            <w:pPr>
              <w:autoSpaceDE/>
              <w:autoSpaceDN/>
              <w:adjustRightInd/>
              <w:spacing w:after="0"/>
              <w:jc w:val="center"/>
              <w:rPr>
                <w:rFonts w:cs="Arial"/>
                <w:sz w:val="16"/>
                <w:szCs w:val="16"/>
                <w:lang w:eastAsia="en-GB"/>
              </w:rPr>
            </w:pPr>
            <w:r w:rsidRPr="00833B81">
              <w:rPr>
                <w:rFonts w:cs="Arial"/>
                <w:sz w:val="16"/>
                <w:szCs w:val="16"/>
                <w:lang w:eastAsia="en-GB"/>
              </w:rPr>
              <w:t>-0.062</w:t>
            </w:r>
          </w:p>
        </w:tc>
        <w:tc>
          <w:tcPr>
            <w:tcW w:w="961"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rsidR="00E2507D" w:rsidRPr="00833B81" w:rsidP="00E2507D">
            <w:pPr>
              <w:autoSpaceDE/>
              <w:autoSpaceDN/>
              <w:adjustRightInd/>
              <w:spacing w:after="0"/>
              <w:jc w:val="center"/>
              <w:rPr>
                <w:rFonts w:cs="Arial"/>
                <w:sz w:val="16"/>
                <w:szCs w:val="16"/>
                <w:lang w:eastAsia="en-GB"/>
              </w:rPr>
            </w:pPr>
            <w:r w:rsidRPr="00833B81">
              <w:rPr>
                <w:rFonts w:cs="Arial"/>
                <w:sz w:val="16"/>
                <w:szCs w:val="16"/>
                <w:lang w:eastAsia="en-GB"/>
              </w:rPr>
              <w:t>-17.580</w:t>
            </w:r>
          </w:p>
        </w:tc>
        <w:tc>
          <w:tcPr>
            <w:tcW w:w="883" w:type="dxa"/>
            <w:tcBorders>
              <w:top w:val="nil"/>
              <w:left w:val="nil"/>
              <w:bottom w:val="nil"/>
              <w:right w:val="single" w:sz="8" w:space="0" w:color="auto"/>
            </w:tcBorders>
            <w:noWrap/>
            <w:tcMar>
              <w:top w:w="0" w:type="dxa"/>
              <w:left w:w="108" w:type="dxa"/>
              <w:bottom w:w="0" w:type="dxa"/>
              <w:right w:w="108" w:type="dxa"/>
            </w:tcMar>
            <w:vAlign w:val="center"/>
            <w:hideMark/>
          </w:tcPr>
          <w:p w:rsidR="00E2507D" w:rsidRPr="00833B81" w:rsidP="00E2507D">
            <w:pPr>
              <w:autoSpaceDE/>
              <w:autoSpaceDN/>
              <w:adjustRightInd/>
              <w:spacing w:after="0"/>
              <w:jc w:val="center"/>
              <w:rPr>
                <w:rFonts w:cs="Arial"/>
                <w:sz w:val="16"/>
                <w:szCs w:val="16"/>
                <w:lang w:eastAsia="en-GB"/>
              </w:rPr>
            </w:pPr>
            <w:r w:rsidRPr="00833B81">
              <w:rPr>
                <w:rFonts w:cs="Arial"/>
                <w:sz w:val="16"/>
                <w:szCs w:val="16"/>
                <w:lang w:eastAsia="en-GB"/>
              </w:rPr>
              <w:t>2.663</w:t>
            </w:r>
          </w:p>
        </w:tc>
        <w:tc>
          <w:tcPr>
            <w:tcW w:w="883" w:type="dxa"/>
            <w:tcBorders>
              <w:top w:val="nil"/>
              <w:left w:val="nil"/>
              <w:bottom w:val="nil"/>
              <w:right w:val="single" w:sz="8" w:space="0" w:color="auto"/>
            </w:tcBorders>
            <w:noWrap/>
            <w:tcMar>
              <w:top w:w="0" w:type="dxa"/>
              <w:left w:w="108" w:type="dxa"/>
              <w:bottom w:w="0" w:type="dxa"/>
              <w:right w:w="108" w:type="dxa"/>
            </w:tcMar>
            <w:vAlign w:val="center"/>
            <w:hideMark/>
          </w:tcPr>
          <w:p w:rsidR="00E2507D" w:rsidRPr="00833B81" w:rsidP="00E2507D">
            <w:pPr>
              <w:autoSpaceDE/>
              <w:autoSpaceDN/>
              <w:adjustRightInd/>
              <w:spacing w:after="0"/>
              <w:jc w:val="center"/>
              <w:rPr>
                <w:rFonts w:cs="Arial"/>
                <w:sz w:val="16"/>
                <w:szCs w:val="16"/>
                <w:lang w:eastAsia="en-GB"/>
              </w:rPr>
            </w:pPr>
            <w:r w:rsidRPr="00833B81">
              <w:rPr>
                <w:rFonts w:cs="Arial"/>
                <w:sz w:val="16"/>
                <w:szCs w:val="16"/>
                <w:lang w:eastAsia="en-GB"/>
              </w:rPr>
              <w:t>1.914</w:t>
            </w:r>
          </w:p>
        </w:tc>
        <w:tc>
          <w:tcPr>
            <w:tcW w:w="88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rsidR="00E2507D" w:rsidRPr="00833B81" w:rsidP="00E2507D">
            <w:pPr>
              <w:autoSpaceDE/>
              <w:autoSpaceDN/>
              <w:adjustRightInd/>
              <w:spacing w:after="0"/>
              <w:jc w:val="center"/>
              <w:rPr>
                <w:rFonts w:cs="Arial"/>
                <w:sz w:val="16"/>
                <w:szCs w:val="16"/>
                <w:lang w:eastAsia="en-GB"/>
              </w:rPr>
            </w:pPr>
            <w:r w:rsidRPr="00833B81">
              <w:rPr>
                <w:rFonts w:cs="Arial"/>
                <w:sz w:val="16"/>
                <w:szCs w:val="16"/>
                <w:lang w:eastAsia="en-GB"/>
              </w:rPr>
              <w:t>-13.003</w:t>
            </w:r>
          </w:p>
        </w:tc>
      </w:tr>
      <w:tr w:rsidTr="00E2507D">
        <w:tblPrEx>
          <w:tblW w:w="9857" w:type="dxa"/>
          <w:tblInd w:w="-548" w:type="dxa"/>
          <w:tblCellMar>
            <w:left w:w="0" w:type="dxa"/>
            <w:right w:w="0" w:type="dxa"/>
          </w:tblCellMar>
          <w:tblLook w:val="04A0"/>
        </w:tblPrEx>
        <w:trPr>
          <w:trHeight w:val="378"/>
        </w:trPr>
        <w:tc>
          <w:tcPr>
            <w:tcW w:w="2621"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E2507D" w:rsidRPr="00833B81" w:rsidP="00E2507D">
            <w:pPr>
              <w:autoSpaceDE/>
              <w:autoSpaceDN/>
              <w:adjustRightInd/>
              <w:spacing w:after="0"/>
              <w:jc w:val="left"/>
              <w:rPr>
                <w:rFonts w:cs="Arial"/>
                <w:b/>
                <w:bCs/>
                <w:sz w:val="16"/>
                <w:szCs w:val="16"/>
                <w:lang w:eastAsia="en-GB"/>
              </w:rPr>
            </w:pPr>
            <w:r w:rsidRPr="00833B81">
              <w:rPr>
                <w:rFonts w:cs="Arial"/>
                <w:b/>
                <w:bCs/>
                <w:sz w:val="16"/>
                <w:szCs w:val="16"/>
                <w:lang w:eastAsia="en-GB"/>
              </w:rPr>
              <w:t>SUB TOTAL SCHOOLS/NON LCC RESERVES</w:t>
            </w:r>
          </w:p>
        </w:tc>
        <w:tc>
          <w:tcPr>
            <w:tcW w:w="1426" w:type="dxa"/>
            <w:tcBorders>
              <w:top w:val="single" w:sz="8" w:space="0" w:color="auto"/>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rsidR="00E2507D" w:rsidRPr="00833B81" w:rsidP="00E2507D">
            <w:pPr>
              <w:autoSpaceDE/>
              <w:autoSpaceDN/>
              <w:adjustRightInd/>
              <w:spacing w:after="0"/>
              <w:jc w:val="center"/>
              <w:rPr>
                <w:rFonts w:cs="Arial"/>
                <w:b/>
                <w:bCs/>
                <w:sz w:val="16"/>
                <w:szCs w:val="16"/>
                <w:lang w:eastAsia="en-GB"/>
              </w:rPr>
            </w:pPr>
            <w:r w:rsidRPr="00833B81">
              <w:rPr>
                <w:rFonts w:cs="Arial"/>
                <w:b/>
                <w:bCs/>
                <w:sz w:val="16"/>
                <w:szCs w:val="16"/>
                <w:lang w:eastAsia="en-GB"/>
              </w:rPr>
              <w:t>-17.528</w:t>
            </w:r>
          </w:p>
        </w:tc>
        <w:tc>
          <w:tcPr>
            <w:tcW w:w="1162" w:type="dxa"/>
            <w:tcBorders>
              <w:top w:val="single" w:sz="8" w:space="0" w:color="auto"/>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rsidR="00E2507D" w:rsidRPr="00833B81" w:rsidP="00E2507D">
            <w:pPr>
              <w:autoSpaceDE/>
              <w:autoSpaceDN/>
              <w:adjustRightInd/>
              <w:spacing w:after="0"/>
              <w:jc w:val="center"/>
              <w:rPr>
                <w:rFonts w:cs="Arial"/>
                <w:b/>
                <w:bCs/>
                <w:sz w:val="16"/>
                <w:szCs w:val="16"/>
                <w:lang w:eastAsia="en-GB"/>
              </w:rPr>
            </w:pPr>
            <w:r w:rsidRPr="00833B81">
              <w:rPr>
                <w:rFonts w:cs="Arial"/>
                <w:b/>
                <w:bCs/>
                <w:sz w:val="16"/>
                <w:szCs w:val="16"/>
                <w:lang w:eastAsia="en-GB"/>
              </w:rPr>
              <w:t>0.009</w:t>
            </w:r>
          </w:p>
        </w:tc>
        <w:tc>
          <w:tcPr>
            <w:tcW w:w="1038" w:type="dxa"/>
            <w:tcBorders>
              <w:top w:val="single" w:sz="8" w:space="0" w:color="auto"/>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rsidR="00E2507D" w:rsidRPr="00833B81" w:rsidP="00E2507D">
            <w:pPr>
              <w:autoSpaceDE/>
              <w:autoSpaceDN/>
              <w:adjustRightInd/>
              <w:spacing w:after="0"/>
              <w:jc w:val="center"/>
              <w:rPr>
                <w:rFonts w:cs="Arial"/>
                <w:b/>
                <w:bCs/>
                <w:sz w:val="16"/>
                <w:szCs w:val="16"/>
                <w:lang w:eastAsia="en-GB"/>
              </w:rPr>
            </w:pPr>
            <w:r w:rsidRPr="00833B81">
              <w:rPr>
                <w:rFonts w:cs="Arial"/>
                <w:b/>
                <w:bCs/>
                <w:sz w:val="16"/>
                <w:szCs w:val="16"/>
                <w:lang w:eastAsia="en-GB"/>
              </w:rPr>
              <w:t>-0.062</w:t>
            </w:r>
          </w:p>
        </w:tc>
        <w:tc>
          <w:tcPr>
            <w:tcW w:w="961"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rsidR="00E2507D" w:rsidRPr="00833B81" w:rsidP="00E2507D">
            <w:pPr>
              <w:autoSpaceDE/>
              <w:autoSpaceDN/>
              <w:adjustRightInd/>
              <w:spacing w:after="0"/>
              <w:jc w:val="center"/>
              <w:rPr>
                <w:rFonts w:cs="Arial"/>
                <w:b/>
                <w:bCs/>
                <w:sz w:val="16"/>
                <w:szCs w:val="16"/>
                <w:lang w:eastAsia="en-GB"/>
              </w:rPr>
            </w:pPr>
            <w:r w:rsidRPr="00833B81">
              <w:rPr>
                <w:rFonts w:cs="Arial"/>
                <w:b/>
                <w:bCs/>
                <w:sz w:val="16"/>
                <w:szCs w:val="16"/>
                <w:lang w:eastAsia="en-GB"/>
              </w:rPr>
              <w:t>-17.580</w:t>
            </w:r>
          </w:p>
        </w:tc>
        <w:tc>
          <w:tcPr>
            <w:tcW w:w="883" w:type="dxa"/>
            <w:tcBorders>
              <w:top w:val="single" w:sz="8" w:space="0" w:color="auto"/>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rsidR="00E2507D" w:rsidRPr="00833B81" w:rsidP="00E2507D">
            <w:pPr>
              <w:autoSpaceDE/>
              <w:autoSpaceDN/>
              <w:adjustRightInd/>
              <w:spacing w:after="0"/>
              <w:jc w:val="center"/>
              <w:rPr>
                <w:rFonts w:cs="Arial"/>
                <w:b/>
                <w:bCs/>
                <w:sz w:val="16"/>
                <w:szCs w:val="16"/>
                <w:lang w:eastAsia="en-GB"/>
              </w:rPr>
            </w:pPr>
            <w:r w:rsidRPr="00833B81">
              <w:rPr>
                <w:rFonts w:cs="Arial"/>
                <w:b/>
                <w:bCs/>
                <w:sz w:val="16"/>
                <w:szCs w:val="16"/>
                <w:lang w:eastAsia="en-GB"/>
              </w:rPr>
              <w:t>2.663</w:t>
            </w:r>
          </w:p>
        </w:tc>
        <w:tc>
          <w:tcPr>
            <w:tcW w:w="883" w:type="dxa"/>
            <w:tcBorders>
              <w:top w:val="single" w:sz="8" w:space="0" w:color="auto"/>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rsidR="00E2507D" w:rsidRPr="00833B81" w:rsidP="00E2507D">
            <w:pPr>
              <w:autoSpaceDE/>
              <w:autoSpaceDN/>
              <w:adjustRightInd/>
              <w:spacing w:after="0"/>
              <w:jc w:val="center"/>
              <w:rPr>
                <w:rFonts w:cs="Arial"/>
                <w:b/>
                <w:bCs/>
                <w:sz w:val="16"/>
                <w:szCs w:val="16"/>
                <w:lang w:eastAsia="en-GB"/>
              </w:rPr>
            </w:pPr>
            <w:r w:rsidRPr="00833B81">
              <w:rPr>
                <w:rFonts w:cs="Arial"/>
                <w:b/>
                <w:bCs/>
                <w:sz w:val="16"/>
                <w:szCs w:val="16"/>
                <w:lang w:eastAsia="en-GB"/>
              </w:rPr>
              <w:t>1.914</w:t>
            </w:r>
          </w:p>
        </w:tc>
        <w:tc>
          <w:tcPr>
            <w:tcW w:w="88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rsidR="00E2507D" w:rsidRPr="00833B81" w:rsidP="00E2507D">
            <w:pPr>
              <w:autoSpaceDE/>
              <w:autoSpaceDN/>
              <w:adjustRightInd/>
              <w:spacing w:after="0"/>
              <w:jc w:val="center"/>
              <w:rPr>
                <w:rFonts w:cs="Arial"/>
                <w:b/>
                <w:bCs/>
                <w:sz w:val="16"/>
                <w:szCs w:val="16"/>
                <w:lang w:eastAsia="en-GB"/>
              </w:rPr>
            </w:pPr>
            <w:r w:rsidRPr="00833B81">
              <w:rPr>
                <w:rFonts w:cs="Arial"/>
                <w:b/>
                <w:bCs/>
                <w:sz w:val="16"/>
                <w:szCs w:val="16"/>
                <w:lang w:eastAsia="en-GB"/>
              </w:rPr>
              <w:t>-13.003</w:t>
            </w:r>
          </w:p>
        </w:tc>
      </w:tr>
      <w:tr w:rsidTr="00E2507D">
        <w:tblPrEx>
          <w:tblW w:w="9857" w:type="dxa"/>
          <w:tblInd w:w="-548" w:type="dxa"/>
          <w:tblCellMar>
            <w:left w:w="0" w:type="dxa"/>
            <w:right w:w="0" w:type="dxa"/>
          </w:tblCellMar>
          <w:tblLook w:val="04A0"/>
        </w:tblPrEx>
        <w:trPr>
          <w:trHeight w:val="262"/>
        </w:trPr>
        <w:tc>
          <w:tcPr>
            <w:tcW w:w="2621"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E2507D" w:rsidRPr="00833B81" w:rsidP="00E2507D">
            <w:pPr>
              <w:autoSpaceDE/>
              <w:autoSpaceDN/>
              <w:adjustRightInd/>
              <w:spacing w:after="0"/>
              <w:jc w:val="left"/>
              <w:rPr>
                <w:rFonts w:cs="Arial"/>
                <w:i/>
                <w:iCs/>
                <w:sz w:val="16"/>
                <w:szCs w:val="16"/>
                <w:lang w:eastAsia="en-GB"/>
              </w:rPr>
            </w:pPr>
            <w:r w:rsidRPr="00833B81">
              <w:rPr>
                <w:rFonts w:cs="Arial"/>
                <w:i/>
                <w:iCs/>
                <w:sz w:val="16"/>
                <w:szCs w:val="16"/>
                <w:lang w:eastAsia="en-GB"/>
              </w:rPr>
              <w:t> </w:t>
            </w:r>
          </w:p>
        </w:tc>
        <w:tc>
          <w:tcPr>
            <w:tcW w:w="1426" w:type="dxa"/>
            <w:tcBorders>
              <w:top w:val="nil"/>
              <w:left w:val="nil"/>
              <w:bottom w:val="nil"/>
              <w:right w:val="single" w:sz="8" w:space="0" w:color="auto"/>
            </w:tcBorders>
            <w:noWrap/>
            <w:tcMar>
              <w:top w:w="0" w:type="dxa"/>
              <w:left w:w="108" w:type="dxa"/>
              <w:bottom w:w="0" w:type="dxa"/>
              <w:right w:w="108" w:type="dxa"/>
            </w:tcMar>
            <w:vAlign w:val="center"/>
            <w:hideMark/>
          </w:tcPr>
          <w:p w:rsidR="00E2507D" w:rsidRPr="00833B81" w:rsidP="00E2507D">
            <w:pPr>
              <w:autoSpaceDE/>
              <w:autoSpaceDN/>
              <w:adjustRightInd/>
              <w:spacing w:after="0"/>
              <w:jc w:val="center"/>
              <w:rPr>
                <w:rFonts w:cs="Arial"/>
                <w:sz w:val="16"/>
                <w:szCs w:val="16"/>
                <w:lang w:eastAsia="en-GB"/>
              </w:rPr>
            </w:pPr>
            <w:r w:rsidRPr="00833B81">
              <w:rPr>
                <w:rFonts w:cs="Arial"/>
                <w:sz w:val="16"/>
                <w:szCs w:val="16"/>
                <w:lang w:eastAsia="en-GB"/>
              </w:rPr>
              <w:t> </w:t>
            </w:r>
          </w:p>
        </w:tc>
        <w:tc>
          <w:tcPr>
            <w:tcW w:w="1162" w:type="dxa"/>
            <w:tcBorders>
              <w:top w:val="nil"/>
              <w:left w:val="nil"/>
              <w:bottom w:val="nil"/>
              <w:right w:val="single" w:sz="8" w:space="0" w:color="auto"/>
            </w:tcBorders>
            <w:noWrap/>
            <w:tcMar>
              <w:top w:w="0" w:type="dxa"/>
              <w:left w:w="108" w:type="dxa"/>
              <w:bottom w:w="0" w:type="dxa"/>
              <w:right w:w="108" w:type="dxa"/>
            </w:tcMar>
            <w:vAlign w:val="center"/>
            <w:hideMark/>
          </w:tcPr>
          <w:p w:rsidR="00E2507D" w:rsidRPr="00833B81" w:rsidP="00E2507D">
            <w:pPr>
              <w:autoSpaceDE/>
              <w:autoSpaceDN/>
              <w:adjustRightInd/>
              <w:spacing w:after="0"/>
              <w:jc w:val="center"/>
              <w:rPr>
                <w:rFonts w:cs="Arial"/>
                <w:sz w:val="16"/>
                <w:szCs w:val="16"/>
                <w:lang w:eastAsia="en-GB"/>
              </w:rPr>
            </w:pPr>
            <w:r w:rsidRPr="00833B81">
              <w:rPr>
                <w:rFonts w:cs="Arial"/>
                <w:sz w:val="16"/>
                <w:szCs w:val="16"/>
                <w:lang w:eastAsia="en-GB"/>
              </w:rPr>
              <w:t> </w:t>
            </w:r>
          </w:p>
        </w:tc>
        <w:tc>
          <w:tcPr>
            <w:tcW w:w="1038" w:type="dxa"/>
            <w:tcBorders>
              <w:top w:val="nil"/>
              <w:left w:val="nil"/>
              <w:bottom w:val="nil"/>
              <w:right w:val="single" w:sz="8" w:space="0" w:color="auto"/>
            </w:tcBorders>
            <w:noWrap/>
            <w:tcMar>
              <w:top w:w="0" w:type="dxa"/>
              <w:left w:w="108" w:type="dxa"/>
              <w:bottom w:w="0" w:type="dxa"/>
              <w:right w:w="108" w:type="dxa"/>
            </w:tcMar>
            <w:vAlign w:val="center"/>
            <w:hideMark/>
          </w:tcPr>
          <w:p w:rsidR="00E2507D" w:rsidRPr="00833B81" w:rsidP="00E2507D">
            <w:pPr>
              <w:autoSpaceDE/>
              <w:autoSpaceDN/>
              <w:adjustRightInd/>
              <w:spacing w:after="0"/>
              <w:jc w:val="center"/>
              <w:rPr>
                <w:rFonts w:cs="Arial"/>
                <w:sz w:val="16"/>
                <w:szCs w:val="16"/>
                <w:lang w:eastAsia="en-GB"/>
              </w:rPr>
            </w:pPr>
            <w:r w:rsidRPr="00833B81">
              <w:rPr>
                <w:rFonts w:cs="Arial"/>
                <w:sz w:val="16"/>
                <w:szCs w:val="16"/>
                <w:lang w:eastAsia="en-GB"/>
              </w:rPr>
              <w:t> </w:t>
            </w:r>
          </w:p>
        </w:tc>
        <w:tc>
          <w:tcPr>
            <w:tcW w:w="961" w:type="dxa"/>
            <w:tcBorders>
              <w:top w:val="nil"/>
              <w:left w:val="nil"/>
              <w:bottom w:val="nil"/>
              <w:right w:val="single" w:sz="8" w:space="0" w:color="auto"/>
            </w:tcBorders>
            <w:noWrap/>
            <w:tcMar>
              <w:top w:w="0" w:type="dxa"/>
              <w:left w:w="108" w:type="dxa"/>
              <w:bottom w:w="0" w:type="dxa"/>
              <w:right w:w="108" w:type="dxa"/>
            </w:tcMar>
            <w:vAlign w:val="center"/>
            <w:hideMark/>
          </w:tcPr>
          <w:p w:rsidR="00E2507D" w:rsidRPr="00833B81" w:rsidP="00E2507D">
            <w:pPr>
              <w:autoSpaceDE/>
              <w:autoSpaceDN/>
              <w:adjustRightInd/>
              <w:spacing w:after="0"/>
              <w:jc w:val="center"/>
              <w:rPr>
                <w:rFonts w:cs="Arial"/>
                <w:sz w:val="16"/>
                <w:szCs w:val="16"/>
                <w:lang w:eastAsia="en-GB"/>
              </w:rPr>
            </w:pPr>
            <w:r w:rsidRPr="00833B81">
              <w:rPr>
                <w:rFonts w:cs="Arial"/>
                <w:sz w:val="16"/>
                <w:szCs w:val="16"/>
                <w:lang w:eastAsia="en-GB"/>
              </w:rPr>
              <w:t> </w:t>
            </w:r>
          </w:p>
        </w:tc>
        <w:tc>
          <w:tcPr>
            <w:tcW w:w="883" w:type="dxa"/>
            <w:tcBorders>
              <w:top w:val="nil"/>
              <w:left w:val="nil"/>
              <w:bottom w:val="nil"/>
              <w:right w:val="single" w:sz="8" w:space="0" w:color="auto"/>
            </w:tcBorders>
            <w:noWrap/>
            <w:tcMar>
              <w:top w:w="0" w:type="dxa"/>
              <w:left w:w="108" w:type="dxa"/>
              <w:bottom w:w="0" w:type="dxa"/>
              <w:right w:w="108" w:type="dxa"/>
            </w:tcMar>
            <w:vAlign w:val="center"/>
            <w:hideMark/>
          </w:tcPr>
          <w:p w:rsidR="00E2507D" w:rsidRPr="00833B81" w:rsidP="00E2507D">
            <w:pPr>
              <w:autoSpaceDE/>
              <w:autoSpaceDN/>
              <w:adjustRightInd/>
              <w:spacing w:after="0"/>
              <w:jc w:val="center"/>
              <w:rPr>
                <w:rFonts w:cs="Arial"/>
                <w:i/>
                <w:iCs/>
                <w:sz w:val="16"/>
                <w:szCs w:val="16"/>
                <w:lang w:eastAsia="en-GB"/>
              </w:rPr>
            </w:pPr>
            <w:r w:rsidRPr="00833B81">
              <w:rPr>
                <w:rFonts w:cs="Arial"/>
                <w:i/>
                <w:iCs/>
                <w:sz w:val="16"/>
                <w:szCs w:val="16"/>
                <w:lang w:eastAsia="en-GB"/>
              </w:rPr>
              <w:t> </w:t>
            </w:r>
          </w:p>
        </w:tc>
        <w:tc>
          <w:tcPr>
            <w:tcW w:w="883" w:type="dxa"/>
            <w:tcBorders>
              <w:top w:val="nil"/>
              <w:left w:val="nil"/>
              <w:bottom w:val="nil"/>
              <w:right w:val="single" w:sz="8" w:space="0" w:color="auto"/>
            </w:tcBorders>
            <w:noWrap/>
            <w:tcMar>
              <w:top w:w="0" w:type="dxa"/>
              <w:left w:w="108" w:type="dxa"/>
              <w:bottom w:w="0" w:type="dxa"/>
              <w:right w:w="108" w:type="dxa"/>
            </w:tcMar>
            <w:vAlign w:val="center"/>
            <w:hideMark/>
          </w:tcPr>
          <w:p w:rsidR="00E2507D" w:rsidRPr="00833B81" w:rsidP="00E2507D">
            <w:pPr>
              <w:autoSpaceDE/>
              <w:autoSpaceDN/>
              <w:adjustRightInd/>
              <w:spacing w:after="0"/>
              <w:jc w:val="center"/>
              <w:rPr>
                <w:rFonts w:cs="Arial"/>
                <w:i/>
                <w:iCs/>
                <w:sz w:val="16"/>
                <w:szCs w:val="16"/>
                <w:lang w:eastAsia="en-GB"/>
              </w:rPr>
            </w:pPr>
            <w:r w:rsidRPr="00833B81">
              <w:rPr>
                <w:rFonts w:cs="Arial"/>
                <w:i/>
                <w:iCs/>
                <w:sz w:val="16"/>
                <w:szCs w:val="16"/>
                <w:lang w:eastAsia="en-GB"/>
              </w:rPr>
              <w:t> </w:t>
            </w:r>
          </w:p>
        </w:tc>
        <w:tc>
          <w:tcPr>
            <w:tcW w:w="883" w:type="dxa"/>
            <w:tcBorders>
              <w:top w:val="nil"/>
              <w:left w:val="nil"/>
              <w:bottom w:val="nil"/>
              <w:right w:val="single" w:sz="8" w:space="0" w:color="auto"/>
            </w:tcBorders>
            <w:noWrap/>
            <w:tcMar>
              <w:top w:w="0" w:type="dxa"/>
              <w:left w:w="108" w:type="dxa"/>
              <w:bottom w:w="0" w:type="dxa"/>
              <w:right w:w="108" w:type="dxa"/>
            </w:tcMar>
            <w:vAlign w:val="center"/>
            <w:hideMark/>
          </w:tcPr>
          <w:p w:rsidR="00E2507D" w:rsidRPr="00833B81" w:rsidP="00E2507D">
            <w:pPr>
              <w:autoSpaceDE/>
              <w:autoSpaceDN/>
              <w:adjustRightInd/>
              <w:spacing w:after="0"/>
              <w:jc w:val="center"/>
              <w:rPr>
                <w:rFonts w:cs="Arial"/>
                <w:i/>
                <w:iCs/>
                <w:sz w:val="16"/>
                <w:szCs w:val="16"/>
                <w:lang w:eastAsia="en-GB"/>
              </w:rPr>
            </w:pPr>
            <w:r w:rsidRPr="00833B81">
              <w:rPr>
                <w:rFonts w:cs="Arial"/>
                <w:i/>
                <w:iCs/>
                <w:sz w:val="16"/>
                <w:szCs w:val="16"/>
                <w:lang w:eastAsia="en-GB"/>
              </w:rPr>
              <w:t> </w:t>
            </w:r>
          </w:p>
        </w:tc>
      </w:tr>
      <w:tr w:rsidTr="00E2507D">
        <w:tblPrEx>
          <w:tblW w:w="9857" w:type="dxa"/>
          <w:tblInd w:w="-548" w:type="dxa"/>
          <w:tblCellMar>
            <w:left w:w="0" w:type="dxa"/>
            <w:right w:w="0" w:type="dxa"/>
          </w:tblCellMar>
          <w:tblLook w:val="04A0"/>
        </w:tblPrEx>
        <w:trPr>
          <w:trHeight w:val="378"/>
        </w:trPr>
        <w:tc>
          <w:tcPr>
            <w:tcW w:w="2621"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E2507D" w:rsidRPr="00833B81" w:rsidP="00E2507D">
            <w:pPr>
              <w:autoSpaceDE/>
              <w:autoSpaceDN/>
              <w:adjustRightInd/>
              <w:spacing w:after="0"/>
              <w:jc w:val="left"/>
              <w:rPr>
                <w:rFonts w:cs="Arial"/>
                <w:b/>
                <w:bCs/>
                <w:sz w:val="16"/>
                <w:szCs w:val="16"/>
                <w:lang w:eastAsia="en-GB"/>
              </w:rPr>
            </w:pPr>
            <w:r w:rsidRPr="00833B81">
              <w:rPr>
                <w:rFonts w:cs="Arial"/>
                <w:b/>
                <w:bCs/>
                <w:sz w:val="16"/>
                <w:szCs w:val="16"/>
                <w:lang w:eastAsia="en-GB"/>
              </w:rPr>
              <w:t>GRAND TOTAL</w:t>
            </w:r>
          </w:p>
        </w:tc>
        <w:tc>
          <w:tcPr>
            <w:tcW w:w="1426" w:type="dxa"/>
            <w:tcBorders>
              <w:top w:val="single" w:sz="8" w:space="0" w:color="auto"/>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rsidR="00E2507D" w:rsidRPr="00833B81" w:rsidP="00E2507D">
            <w:pPr>
              <w:autoSpaceDE/>
              <w:autoSpaceDN/>
              <w:adjustRightInd/>
              <w:spacing w:after="0"/>
              <w:jc w:val="center"/>
              <w:rPr>
                <w:rFonts w:cs="Arial"/>
                <w:b/>
                <w:bCs/>
                <w:sz w:val="16"/>
                <w:szCs w:val="16"/>
                <w:lang w:eastAsia="en-GB"/>
              </w:rPr>
            </w:pPr>
            <w:r w:rsidRPr="00833B81">
              <w:rPr>
                <w:rFonts w:cs="Arial"/>
                <w:b/>
                <w:bCs/>
                <w:sz w:val="16"/>
                <w:szCs w:val="16"/>
                <w:lang w:eastAsia="en-GB"/>
              </w:rPr>
              <w:t>-240.814</w:t>
            </w:r>
          </w:p>
        </w:tc>
        <w:tc>
          <w:tcPr>
            <w:tcW w:w="1162" w:type="dxa"/>
            <w:tcBorders>
              <w:top w:val="single" w:sz="8" w:space="0" w:color="auto"/>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rsidR="00E2507D" w:rsidRPr="00833B81" w:rsidP="00E2507D">
            <w:pPr>
              <w:autoSpaceDE/>
              <w:autoSpaceDN/>
              <w:adjustRightInd/>
              <w:spacing w:after="0"/>
              <w:jc w:val="center"/>
              <w:rPr>
                <w:rFonts w:cs="Arial"/>
                <w:b/>
                <w:bCs/>
                <w:sz w:val="16"/>
                <w:szCs w:val="16"/>
                <w:lang w:eastAsia="en-GB"/>
              </w:rPr>
            </w:pPr>
            <w:r w:rsidRPr="00833B81">
              <w:rPr>
                <w:rFonts w:cs="Arial"/>
                <w:b/>
                <w:bCs/>
                <w:sz w:val="16"/>
                <w:szCs w:val="16"/>
                <w:lang w:eastAsia="en-GB"/>
              </w:rPr>
              <w:t>-27.281</w:t>
            </w:r>
          </w:p>
        </w:tc>
        <w:tc>
          <w:tcPr>
            <w:tcW w:w="1038" w:type="dxa"/>
            <w:tcBorders>
              <w:top w:val="single" w:sz="8" w:space="0" w:color="auto"/>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rsidR="00E2507D" w:rsidRPr="00833B81" w:rsidP="00E2507D">
            <w:pPr>
              <w:autoSpaceDE/>
              <w:autoSpaceDN/>
              <w:adjustRightInd/>
              <w:spacing w:after="0"/>
              <w:jc w:val="center"/>
              <w:rPr>
                <w:rFonts w:cs="Arial"/>
                <w:b/>
                <w:bCs/>
                <w:sz w:val="16"/>
                <w:szCs w:val="16"/>
                <w:lang w:eastAsia="en-GB"/>
              </w:rPr>
            </w:pPr>
            <w:r w:rsidRPr="00833B81">
              <w:rPr>
                <w:rFonts w:cs="Arial"/>
                <w:b/>
                <w:bCs/>
                <w:sz w:val="16"/>
                <w:szCs w:val="16"/>
                <w:lang w:eastAsia="en-GB"/>
              </w:rPr>
              <w:t>0.000</w:t>
            </w:r>
          </w:p>
        </w:tc>
        <w:tc>
          <w:tcPr>
            <w:tcW w:w="961" w:type="dxa"/>
            <w:tcBorders>
              <w:top w:val="single" w:sz="8" w:space="0" w:color="auto"/>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rsidR="00E2507D" w:rsidRPr="00833B81" w:rsidP="00E2507D">
            <w:pPr>
              <w:autoSpaceDE/>
              <w:autoSpaceDN/>
              <w:adjustRightInd/>
              <w:spacing w:after="0"/>
              <w:jc w:val="center"/>
              <w:rPr>
                <w:rFonts w:cs="Arial"/>
                <w:b/>
                <w:bCs/>
                <w:sz w:val="16"/>
                <w:szCs w:val="16"/>
                <w:lang w:eastAsia="en-GB"/>
              </w:rPr>
            </w:pPr>
            <w:r w:rsidRPr="00833B81">
              <w:rPr>
                <w:rFonts w:cs="Arial"/>
                <w:b/>
                <w:bCs/>
                <w:sz w:val="16"/>
                <w:szCs w:val="16"/>
                <w:lang w:eastAsia="en-GB"/>
              </w:rPr>
              <w:t>-268.095</w:t>
            </w:r>
          </w:p>
        </w:tc>
        <w:tc>
          <w:tcPr>
            <w:tcW w:w="883" w:type="dxa"/>
            <w:tcBorders>
              <w:top w:val="single" w:sz="8" w:space="0" w:color="auto"/>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rsidR="00E2507D" w:rsidRPr="00833B81" w:rsidP="00E2507D">
            <w:pPr>
              <w:autoSpaceDE/>
              <w:autoSpaceDN/>
              <w:adjustRightInd/>
              <w:spacing w:after="0"/>
              <w:jc w:val="center"/>
              <w:rPr>
                <w:rFonts w:cs="Arial"/>
                <w:b/>
                <w:bCs/>
                <w:sz w:val="16"/>
                <w:szCs w:val="16"/>
                <w:lang w:eastAsia="en-GB"/>
              </w:rPr>
            </w:pPr>
            <w:r w:rsidRPr="00833B81">
              <w:rPr>
                <w:rFonts w:cs="Arial"/>
                <w:b/>
                <w:bCs/>
                <w:sz w:val="16"/>
                <w:szCs w:val="16"/>
                <w:lang w:eastAsia="en-GB"/>
              </w:rPr>
              <w:t>60.475</w:t>
            </w:r>
          </w:p>
        </w:tc>
        <w:tc>
          <w:tcPr>
            <w:tcW w:w="883" w:type="dxa"/>
            <w:tcBorders>
              <w:top w:val="single" w:sz="8" w:space="0" w:color="auto"/>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rsidR="00E2507D" w:rsidRPr="00833B81" w:rsidP="00E2507D">
            <w:pPr>
              <w:autoSpaceDE/>
              <w:autoSpaceDN/>
              <w:adjustRightInd/>
              <w:spacing w:after="0"/>
              <w:jc w:val="center"/>
              <w:rPr>
                <w:rFonts w:cs="Arial"/>
                <w:b/>
                <w:bCs/>
                <w:sz w:val="16"/>
                <w:szCs w:val="16"/>
                <w:lang w:eastAsia="en-GB"/>
              </w:rPr>
            </w:pPr>
            <w:r w:rsidRPr="00833B81">
              <w:rPr>
                <w:rFonts w:cs="Arial"/>
                <w:b/>
                <w:bCs/>
                <w:sz w:val="16"/>
                <w:szCs w:val="16"/>
                <w:lang w:eastAsia="en-GB"/>
              </w:rPr>
              <w:t>9.347</w:t>
            </w:r>
          </w:p>
        </w:tc>
        <w:tc>
          <w:tcPr>
            <w:tcW w:w="883" w:type="dxa"/>
            <w:tcBorders>
              <w:top w:val="single" w:sz="8" w:space="0" w:color="auto"/>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rsidR="00E2507D" w:rsidRPr="00833B81" w:rsidP="00E2507D">
            <w:pPr>
              <w:autoSpaceDE/>
              <w:autoSpaceDN/>
              <w:adjustRightInd/>
              <w:spacing w:after="0"/>
              <w:jc w:val="center"/>
              <w:rPr>
                <w:rFonts w:cs="Arial"/>
                <w:b/>
                <w:bCs/>
                <w:sz w:val="16"/>
                <w:szCs w:val="16"/>
                <w:lang w:eastAsia="en-GB"/>
              </w:rPr>
            </w:pPr>
            <w:r w:rsidRPr="00833B81">
              <w:rPr>
                <w:rFonts w:cs="Arial"/>
                <w:b/>
                <w:bCs/>
                <w:sz w:val="16"/>
                <w:szCs w:val="16"/>
                <w:lang w:eastAsia="en-GB"/>
              </w:rPr>
              <w:t>-198.273</w:t>
            </w:r>
          </w:p>
        </w:tc>
      </w:tr>
    </w:tbl>
    <w:p w:rsidR="00E2507D" w:rsidRPr="00506BBC" w:rsidP="00E2507D">
      <w:pPr>
        <w:spacing w:after="0"/>
        <w:rPr>
          <w:b/>
          <w:highlight w:val="yellow"/>
        </w:rPr>
      </w:pPr>
    </w:p>
    <w:p w:rsidR="00E2507D" w:rsidRPr="00965254" w:rsidP="00E2507D">
      <w:pPr>
        <w:spacing w:after="0"/>
        <w:ind w:right="-24"/>
        <w:rPr>
          <w:rFonts w:cs="Arial"/>
        </w:rPr>
      </w:pPr>
      <w:r w:rsidRPr="00965254">
        <w:rPr>
          <w:rFonts w:cs="Arial"/>
        </w:rPr>
        <w:t xml:space="preserve">The County Fund shown at the top of Table 1 is the balance set aside to cover the authority against a serious emergency situation (e.g. widespread flooding); a critical and unexpected loss of income to the authority and for general cash flow purposes.  In considering these various factors the county council has a County Fund balance of </w:t>
      </w:r>
      <w:r>
        <w:rPr>
          <w:rFonts w:cs="Arial"/>
        </w:rPr>
        <w:t xml:space="preserve">which remains unchanged at </w:t>
      </w:r>
      <w:r w:rsidRPr="00965254">
        <w:rPr>
          <w:rFonts w:cs="Arial"/>
        </w:rPr>
        <w:t xml:space="preserve">£23.437m at the end of 2019/20.  </w:t>
      </w:r>
    </w:p>
    <w:p w:rsidR="00E2507D" w:rsidRPr="00506BBC" w:rsidP="00E2507D">
      <w:pPr>
        <w:spacing w:after="0"/>
        <w:ind w:right="-24"/>
        <w:rPr>
          <w:rFonts w:cs="Arial"/>
          <w:highlight w:val="yellow"/>
        </w:rPr>
      </w:pPr>
    </w:p>
    <w:p w:rsidR="00E2507D" w:rsidRPr="00BF7564" w:rsidP="00E2507D">
      <w:pPr>
        <w:tabs>
          <w:tab w:val="left" w:pos="567"/>
          <w:tab w:val="left" w:pos="1134"/>
        </w:tabs>
        <w:spacing w:after="0"/>
        <w:rPr>
          <w:rFonts w:cs="Arial"/>
          <w:highlight w:val="yellow"/>
        </w:rPr>
      </w:pPr>
      <w:r w:rsidRPr="00965254">
        <w:rPr>
          <w:rFonts w:cs="Arial"/>
        </w:rPr>
        <w:t xml:space="preserve">The table above shows that the forecast value at the end of 2021/22 of the uncommitted Transitional Reserve following the 2019/20 outturn </w:t>
      </w:r>
      <w:r w:rsidRPr="00BF7564">
        <w:rPr>
          <w:rFonts w:cs="Arial"/>
        </w:rPr>
        <w:t xml:space="preserve">is </w:t>
      </w:r>
      <w:r>
        <w:rPr>
          <w:rFonts w:cs="Arial"/>
        </w:rPr>
        <w:t>£147</w:t>
      </w:r>
      <w:r w:rsidRPr="00BF7564">
        <w:rPr>
          <w:rFonts w:cs="Arial"/>
        </w:rPr>
        <w:t>.</w:t>
      </w:r>
      <w:r>
        <w:rPr>
          <w:rFonts w:cs="Arial"/>
        </w:rPr>
        <w:t>810</w:t>
      </w:r>
      <w:r w:rsidRPr="00BF7564">
        <w:rPr>
          <w:rFonts w:cs="Arial"/>
        </w:rPr>
        <w:t>m. This</w:t>
      </w:r>
      <w:r w:rsidRPr="00965254">
        <w:rPr>
          <w:rFonts w:cs="Arial"/>
        </w:rPr>
        <w:t xml:space="preserve"> is an </w:t>
      </w:r>
      <w:r w:rsidRPr="00BF7564">
        <w:rPr>
          <w:rFonts w:cs="Arial"/>
        </w:rPr>
        <w:t xml:space="preserve">improved </w:t>
      </w:r>
      <w:r w:rsidRPr="00965254">
        <w:rPr>
          <w:rFonts w:cs="Arial"/>
        </w:rPr>
        <w:t xml:space="preserve">position </w:t>
      </w:r>
      <w:r>
        <w:rPr>
          <w:rFonts w:cs="Arial"/>
        </w:rPr>
        <w:t xml:space="preserve">of £3.151m </w:t>
      </w:r>
      <w:r w:rsidRPr="00965254">
        <w:rPr>
          <w:rFonts w:cs="Arial"/>
        </w:rPr>
        <w:t>compared to that reported to Cabinet at Quarter 3</w:t>
      </w:r>
      <w:r w:rsidRPr="003136D1">
        <w:rPr>
          <w:rFonts w:cs="Arial"/>
        </w:rPr>
        <w:t>, due to the underspend within the revenue budget</w:t>
      </w:r>
      <w:r>
        <w:rPr>
          <w:rFonts w:cs="Arial"/>
        </w:rPr>
        <w:t xml:space="preserve">, funding being built back into the </w:t>
      </w:r>
      <w:r>
        <w:rPr>
          <w:rFonts w:cs="Arial"/>
        </w:rPr>
        <w:t>budget for museums, the additional requirement to fund Lancashire Break Time from reserves for 2020/21 only and</w:t>
      </w:r>
      <w:r w:rsidRPr="003136D1">
        <w:rPr>
          <w:rFonts w:cs="Arial"/>
        </w:rPr>
        <w:t xml:space="preserve"> the transfer of funds that are no longer required from other reserves</w:t>
      </w:r>
      <w:r>
        <w:rPr>
          <w:rFonts w:cs="Arial"/>
        </w:rPr>
        <w:t>.</w:t>
      </w:r>
      <w:r w:rsidRPr="00965254">
        <w:rPr>
          <w:rFonts w:cs="Arial"/>
        </w:rPr>
        <w:t xml:space="preserve"> </w:t>
      </w:r>
    </w:p>
    <w:p w:rsidR="00E2507D" w:rsidRPr="00506BBC" w:rsidP="00E2507D">
      <w:pPr>
        <w:tabs>
          <w:tab w:val="left" w:pos="567"/>
          <w:tab w:val="left" w:pos="1134"/>
        </w:tabs>
        <w:spacing w:after="0"/>
        <w:rPr>
          <w:rFonts w:cs="Arial"/>
          <w:highlight w:val="yellow"/>
        </w:rPr>
      </w:pPr>
    </w:p>
    <w:p w:rsidR="00E2507D" w:rsidRPr="008F066C" w:rsidP="00E2507D">
      <w:pPr>
        <w:tabs>
          <w:tab w:val="left" w:pos="567"/>
          <w:tab w:val="left" w:pos="1134"/>
        </w:tabs>
        <w:spacing w:after="0"/>
        <w:rPr>
          <w:rFonts w:cs="Arial"/>
        </w:rPr>
      </w:pPr>
      <w:r w:rsidRPr="008F066C">
        <w:rPr>
          <w:rFonts w:cs="Arial"/>
        </w:rPr>
        <w:t>The closing balance of the Transitional Reserve at 31</w:t>
      </w:r>
      <w:r w:rsidRPr="008F066C">
        <w:rPr>
          <w:rFonts w:cs="Arial"/>
          <w:vertAlign w:val="superscript"/>
        </w:rPr>
        <w:t>st</w:t>
      </w:r>
      <w:r>
        <w:rPr>
          <w:rFonts w:cs="Arial"/>
        </w:rPr>
        <w:t xml:space="preserve"> March 2020 has improved by £2.960</w:t>
      </w:r>
      <w:r w:rsidRPr="008F066C">
        <w:rPr>
          <w:rFonts w:cs="Arial"/>
        </w:rPr>
        <w:t>m when compared to the forecast at quarter 3. The main reasons for this are as follows:</w:t>
      </w:r>
    </w:p>
    <w:p w:rsidR="00E2507D" w:rsidRPr="009F50E3" w:rsidP="00E2507D">
      <w:pPr>
        <w:pStyle w:val="ListParagraph"/>
        <w:numPr>
          <w:ilvl w:val="0"/>
          <w:numId w:val="37"/>
        </w:numPr>
        <w:tabs>
          <w:tab w:val="left" w:pos="709"/>
          <w:tab w:val="left" w:pos="1134"/>
        </w:tabs>
        <w:spacing w:after="0"/>
        <w:rPr>
          <w:rFonts w:cs="Arial"/>
        </w:rPr>
      </w:pPr>
      <w:r w:rsidRPr="009F50E3">
        <w:rPr>
          <w:rFonts w:cs="Arial"/>
        </w:rPr>
        <w:t>£1.740m underspend position that is subsequently transferred to the transitional reserve</w:t>
      </w:r>
    </w:p>
    <w:p w:rsidR="00E2507D" w:rsidRPr="0059329F" w:rsidP="00E2507D">
      <w:pPr>
        <w:pStyle w:val="ListParagraph"/>
        <w:numPr>
          <w:ilvl w:val="0"/>
          <w:numId w:val="37"/>
        </w:numPr>
        <w:tabs>
          <w:tab w:val="left" w:pos="709"/>
          <w:tab w:val="left" w:pos="1134"/>
        </w:tabs>
        <w:spacing w:after="0"/>
        <w:rPr>
          <w:rFonts w:cs="Arial"/>
        </w:rPr>
      </w:pPr>
      <w:r w:rsidRPr="0059329F">
        <w:rPr>
          <w:rFonts w:cs="Arial"/>
        </w:rPr>
        <w:t>£2.165m increased income from year end funding transactions the most significant of which relates to the council tax and business rates collection fund surplus</w:t>
      </w:r>
    </w:p>
    <w:p w:rsidR="00E2507D" w:rsidRPr="00506BBC" w:rsidP="00E2507D">
      <w:pPr>
        <w:tabs>
          <w:tab w:val="left" w:pos="567"/>
          <w:tab w:val="left" w:pos="1134"/>
        </w:tabs>
        <w:spacing w:after="0"/>
        <w:rPr>
          <w:rFonts w:cs="Arial"/>
          <w:highlight w:val="yellow"/>
        </w:rPr>
      </w:pPr>
    </w:p>
    <w:p w:rsidR="00E2507D" w:rsidRPr="00DD0FE8" w:rsidP="00E2507D">
      <w:pPr>
        <w:tabs>
          <w:tab w:val="left" w:pos="567"/>
          <w:tab w:val="left" w:pos="1134"/>
        </w:tabs>
        <w:spacing w:after="0"/>
        <w:rPr>
          <w:rFonts w:cs="Arial"/>
        </w:rPr>
      </w:pPr>
      <w:r w:rsidRPr="00DD0FE8">
        <w:rPr>
          <w:rFonts w:cs="Arial"/>
        </w:rPr>
        <w:t xml:space="preserve">There has been no need to call on the Transitional Reserve to support the 2020/21 budget but other commitments would leave £149.662m available for use in 2021/22 and beyond based on current forecasts. Table 2 within the report demonstrates the funds that are forecast to be available to support the budget gap in future years. However, the uncertainty surrounding </w:t>
      </w:r>
      <w:r>
        <w:rPr>
          <w:rFonts w:cs="Arial"/>
        </w:rPr>
        <w:t xml:space="preserve">the impact of the current </w:t>
      </w:r>
      <w:r w:rsidRPr="00DD0FE8">
        <w:rPr>
          <w:rFonts w:cs="Arial"/>
        </w:rPr>
        <w:t xml:space="preserve">pandemic </w:t>
      </w:r>
      <w:r>
        <w:rPr>
          <w:rFonts w:cs="Arial"/>
        </w:rPr>
        <w:t xml:space="preserve">and the continued uncertainty around the future of local government </w:t>
      </w:r>
      <w:r w:rsidRPr="00DD0FE8">
        <w:rPr>
          <w:rFonts w:cs="Arial"/>
        </w:rPr>
        <w:t>funding may lead to further savings having to be made.</w:t>
      </w:r>
    </w:p>
    <w:p w:rsidR="00E2507D" w:rsidRPr="00506BBC" w:rsidP="00E2507D">
      <w:pPr>
        <w:tabs>
          <w:tab w:val="left" w:pos="567"/>
          <w:tab w:val="left" w:pos="1134"/>
        </w:tabs>
        <w:spacing w:after="0"/>
        <w:rPr>
          <w:rFonts w:cs="Arial"/>
          <w:highlight w:val="yellow"/>
        </w:rPr>
      </w:pPr>
    </w:p>
    <w:p w:rsidR="00E2507D" w:rsidRPr="000E745B" w:rsidP="00E2507D">
      <w:pPr>
        <w:spacing w:after="0"/>
        <w:rPr>
          <w:i/>
          <w:u w:val="single"/>
        </w:rPr>
      </w:pPr>
      <w:r w:rsidRPr="000E745B">
        <w:rPr>
          <w:i/>
          <w:u w:val="single"/>
        </w:rPr>
        <w:t>Table 2</w:t>
      </w:r>
    </w:p>
    <w:p w:rsidR="00E2507D" w:rsidRPr="000E745B" w:rsidP="00E2507D">
      <w:pPr>
        <w:tabs>
          <w:tab w:val="left" w:pos="567"/>
          <w:tab w:val="left" w:pos="1134"/>
        </w:tabs>
        <w:spacing w:after="0"/>
        <w:rPr>
          <w:rFonts w:cs="Arial"/>
        </w:rPr>
      </w:pPr>
    </w:p>
    <w:tbl>
      <w:tblPr>
        <w:tblW w:w="8896" w:type="dxa"/>
        <w:tblLook w:val="04A0"/>
      </w:tblPr>
      <w:tblGrid>
        <w:gridCol w:w="3741"/>
        <w:gridCol w:w="1293"/>
        <w:gridCol w:w="1384"/>
        <w:gridCol w:w="1248"/>
        <w:gridCol w:w="1230"/>
      </w:tblGrid>
      <w:tr w:rsidTr="00E2507D">
        <w:tblPrEx>
          <w:tblW w:w="8896" w:type="dxa"/>
          <w:tblLook w:val="04A0"/>
        </w:tblPrEx>
        <w:trPr>
          <w:trHeight w:val="312"/>
        </w:trPr>
        <w:tc>
          <w:tcPr>
            <w:tcW w:w="3741"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E2507D" w:rsidRPr="000D188A" w:rsidP="00E2507D">
            <w:pPr>
              <w:autoSpaceDE/>
              <w:autoSpaceDN/>
              <w:adjustRightInd/>
              <w:spacing w:after="0"/>
              <w:jc w:val="left"/>
              <w:rPr>
                <w:rFonts w:eastAsia="Times New Roman" w:cs="Arial"/>
                <w:b/>
                <w:bCs/>
                <w:lang w:eastAsia="en-GB"/>
              </w:rPr>
            </w:pPr>
            <w:r w:rsidRPr="000D188A">
              <w:rPr>
                <w:rFonts w:eastAsia="Times New Roman" w:cs="Arial"/>
                <w:b/>
                <w:bCs/>
                <w:lang w:eastAsia="en-GB"/>
              </w:rPr>
              <w:t> </w:t>
            </w:r>
          </w:p>
        </w:tc>
        <w:tc>
          <w:tcPr>
            <w:tcW w:w="1293" w:type="dxa"/>
            <w:tcBorders>
              <w:top w:val="single" w:sz="8" w:space="0" w:color="auto"/>
              <w:left w:val="nil"/>
              <w:bottom w:val="single" w:sz="8" w:space="0" w:color="auto"/>
              <w:right w:val="single" w:sz="8" w:space="0" w:color="auto"/>
            </w:tcBorders>
            <w:shd w:val="clear" w:color="000000" w:fill="BFBFBF"/>
            <w:vAlign w:val="center"/>
            <w:hideMark/>
          </w:tcPr>
          <w:p w:rsidR="00E2507D" w:rsidRPr="000D188A" w:rsidP="00E2507D">
            <w:pPr>
              <w:autoSpaceDE/>
              <w:autoSpaceDN/>
              <w:adjustRightInd/>
              <w:spacing w:after="0"/>
              <w:jc w:val="right"/>
              <w:rPr>
                <w:rFonts w:eastAsia="Times New Roman" w:cs="Arial"/>
                <w:b/>
                <w:bCs/>
                <w:lang w:eastAsia="en-GB"/>
              </w:rPr>
            </w:pPr>
            <w:r w:rsidRPr="000D188A">
              <w:rPr>
                <w:rFonts w:eastAsia="Times New Roman" w:cs="Arial"/>
                <w:b/>
                <w:bCs/>
                <w:lang w:eastAsia="en-GB"/>
              </w:rPr>
              <w:t>2020/21</w:t>
            </w:r>
          </w:p>
        </w:tc>
        <w:tc>
          <w:tcPr>
            <w:tcW w:w="1384" w:type="dxa"/>
            <w:tcBorders>
              <w:top w:val="single" w:sz="8" w:space="0" w:color="auto"/>
              <w:left w:val="nil"/>
              <w:bottom w:val="single" w:sz="8" w:space="0" w:color="auto"/>
              <w:right w:val="single" w:sz="8" w:space="0" w:color="auto"/>
            </w:tcBorders>
            <w:shd w:val="clear" w:color="000000" w:fill="BFBFBF"/>
            <w:vAlign w:val="center"/>
            <w:hideMark/>
          </w:tcPr>
          <w:p w:rsidR="00E2507D" w:rsidRPr="000D188A" w:rsidP="00E2507D">
            <w:pPr>
              <w:autoSpaceDE/>
              <w:autoSpaceDN/>
              <w:adjustRightInd/>
              <w:spacing w:after="0"/>
              <w:jc w:val="right"/>
              <w:rPr>
                <w:rFonts w:eastAsia="Times New Roman" w:cs="Arial"/>
                <w:b/>
                <w:bCs/>
                <w:lang w:eastAsia="en-GB"/>
              </w:rPr>
            </w:pPr>
            <w:r w:rsidRPr="000D188A">
              <w:rPr>
                <w:rFonts w:eastAsia="Times New Roman" w:cs="Arial"/>
                <w:b/>
                <w:bCs/>
                <w:lang w:eastAsia="en-GB"/>
              </w:rPr>
              <w:t>2021/22</w:t>
            </w:r>
          </w:p>
        </w:tc>
        <w:tc>
          <w:tcPr>
            <w:tcW w:w="1248" w:type="dxa"/>
            <w:tcBorders>
              <w:top w:val="single" w:sz="8" w:space="0" w:color="auto"/>
              <w:left w:val="nil"/>
              <w:bottom w:val="single" w:sz="8" w:space="0" w:color="auto"/>
              <w:right w:val="single" w:sz="8" w:space="0" w:color="auto"/>
            </w:tcBorders>
            <w:shd w:val="clear" w:color="000000" w:fill="BFBFBF"/>
            <w:vAlign w:val="center"/>
            <w:hideMark/>
          </w:tcPr>
          <w:p w:rsidR="00E2507D" w:rsidRPr="000D188A" w:rsidP="00E2507D">
            <w:pPr>
              <w:autoSpaceDE/>
              <w:autoSpaceDN/>
              <w:adjustRightInd/>
              <w:spacing w:after="0"/>
              <w:jc w:val="right"/>
              <w:rPr>
                <w:rFonts w:eastAsia="Times New Roman" w:cs="Arial"/>
                <w:b/>
                <w:bCs/>
                <w:lang w:eastAsia="en-GB"/>
              </w:rPr>
            </w:pPr>
            <w:r w:rsidRPr="000D188A">
              <w:rPr>
                <w:rFonts w:eastAsia="Times New Roman" w:cs="Arial"/>
                <w:b/>
                <w:bCs/>
                <w:lang w:eastAsia="en-GB"/>
              </w:rPr>
              <w:t>2022/23</w:t>
            </w:r>
          </w:p>
        </w:tc>
        <w:tc>
          <w:tcPr>
            <w:tcW w:w="1230" w:type="dxa"/>
            <w:tcBorders>
              <w:top w:val="single" w:sz="8" w:space="0" w:color="auto"/>
              <w:left w:val="nil"/>
              <w:bottom w:val="single" w:sz="8" w:space="0" w:color="auto"/>
              <w:right w:val="single" w:sz="8" w:space="0" w:color="auto"/>
            </w:tcBorders>
            <w:shd w:val="clear" w:color="000000" w:fill="BFBFBF"/>
            <w:vAlign w:val="center"/>
            <w:hideMark/>
          </w:tcPr>
          <w:p w:rsidR="00E2507D" w:rsidRPr="000D188A" w:rsidP="00E2507D">
            <w:pPr>
              <w:autoSpaceDE/>
              <w:autoSpaceDN/>
              <w:adjustRightInd/>
              <w:spacing w:after="0"/>
              <w:jc w:val="right"/>
              <w:rPr>
                <w:rFonts w:eastAsia="Times New Roman" w:cs="Arial"/>
                <w:b/>
                <w:bCs/>
                <w:lang w:eastAsia="en-GB"/>
              </w:rPr>
            </w:pPr>
            <w:r w:rsidRPr="000D188A">
              <w:rPr>
                <w:rFonts w:eastAsia="Times New Roman" w:cs="Arial"/>
                <w:b/>
                <w:bCs/>
                <w:lang w:eastAsia="en-GB"/>
              </w:rPr>
              <w:t>2023/24</w:t>
            </w:r>
          </w:p>
        </w:tc>
      </w:tr>
      <w:tr w:rsidTr="00E2507D">
        <w:tblPrEx>
          <w:tblW w:w="8896" w:type="dxa"/>
          <w:tblLook w:val="04A0"/>
        </w:tblPrEx>
        <w:trPr>
          <w:trHeight w:val="312"/>
        </w:trPr>
        <w:tc>
          <w:tcPr>
            <w:tcW w:w="3741" w:type="dxa"/>
            <w:tcBorders>
              <w:top w:val="nil"/>
              <w:left w:val="single" w:sz="8" w:space="0" w:color="auto"/>
              <w:bottom w:val="single" w:sz="8" w:space="0" w:color="auto"/>
              <w:right w:val="single" w:sz="8" w:space="0" w:color="auto"/>
            </w:tcBorders>
            <w:shd w:val="clear" w:color="auto" w:fill="auto"/>
            <w:vAlign w:val="center"/>
            <w:hideMark/>
          </w:tcPr>
          <w:p w:rsidR="00E2507D" w:rsidRPr="000D188A" w:rsidP="00E2507D">
            <w:pPr>
              <w:autoSpaceDE/>
              <w:autoSpaceDN/>
              <w:adjustRightInd/>
              <w:spacing w:after="0"/>
              <w:jc w:val="left"/>
              <w:rPr>
                <w:rFonts w:eastAsia="Times New Roman" w:cs="Arial"/>
                <w:b/>
                <w:bCs/>
                <w:lang w:eastAsia="en-GB"/>
              </w:rPr>
            </w:pPr>
            <w:r w:rsidRPr="000D188A">
              <w:rPr>
                <w:rFonts w:eastAsia="Times New Roman" w:cs="Arial"/>
                <w:b/>
                <w:bCs/>
                <w:lang w:eastAsia="en-GB"/>
              </w:rPr>
              <w:t>Opening Balance</w:t>
            </w:r>
          </w:p>
        </w:tc>
        <w:tc>
          <w:tcPr>
            <w:tcW w:w="1293" w:type="dxa"/>
            <w:tcBorders>
              <w:top w:val="nil"/>
              <w:left w:val="nil"/>
              <w:bottom w:val="single" w:sz="8" w:space="0" w:color="auto"/>
              <w:right w:val="single" w:sz="8" w:space="0" w:color="auto"/>
            </w:tcBorders>
            <w:shd w:val="clear" w:color="auto" w:fill="auto"/>
            <w:vAlign w:val="center"/>
            <w:hideMark/>
          </w:tcPr>
          <w:p w:rsidR="00E2507D" w:rsidRPr="000D188A" w:rsidP="00E2507D">
            <w:pPr>
              <w:autoSpaceDE/>
              <w:autoSpaceDN/>
              <w:adjustRightInd/>
              <w:spacing w:after="0"/>
              <w:jc w:val="right"/>
              <w:rPr>
                <w:rFonts w:eastAsia="Times New Roman" w:cs="Arial"/>
                <w:lang w:eastAsia="en-GB"/>
              </w:rPr>
            </w:pPr>
            <w:r w:rsidRPr="000D188A">
              <w:rPr>
                <w:rFonts w:eastAsia="Times New Roman" w:cs="Arial"/>
                <w:lang w:eastAsia="en-GB"/>
              </w:rPr>
              <w:t>151.199</w:t>
            </w:r>
          </w:p>
        </w:tc>
        <w:tc>
          <w:tcPr>
            <w:tcW w:w="1384" w:type="dxa"/>
            <w:tcBorders>
              <w:top w:val="nil"/>
              <w:left w:val="nil"/>
              <w:bottom w:val="single" w:sz="8" w:space="0" w:color="auto"/>
              <w:right w:val="single" w:sz="8" w:space="0" w:color="auto"/>
            </w:tcBorders>
            <w:shd w:val="clear" w:color="auto" w:fill="auto"/>
            <w:vAlign w:val="center"/>
            <w:hideMark/>
          </w:tcPr>
          <w:p w:rsidR="00E2507D" w:rsidRPr="000D188A" w:rsidP="00E2507D">
            <w:pPr>
              <w:autoSpaceDE/>
              <w:autoSpaceDN/>
              <w:adjustRightInd/>
              <w:spacing w:after="0"/>
              <w:jc w:val="right"/>
              <w:rPr>
                <w:rFonts w:eastAsia="Times New Roman" w:cs="Arial"/>
                <w:lang w:eastAsia="en-GB"/>
              </w:rPr>
            </w:pPr>
            <w:r w:rsidRPr="000D188A">
              <w:rPr>
                <w:rFonts w:eastAsia="Times New Roman" w:cs="Arial"/>
                <w:lang w:eastAsia="en-GB"/>
              </w:rPr>
              <w:t>149.662</w:t>
            </w:r>
          </w:p>
        </w:tc>
        <w:tc>
          <w:tcPr>
            <w:tcW w:w="1248" w:type="dxa"/>
            <w:tcBorders>
              <w:top w:val="nil"/>
              <w:left w:val="nil"/>
              <w:bottom w:val="single" w:sz="8" w:space="0" w:color="auto"/>
              <w:right w:val="single" w:sz="8" w:space="0" w:color="auto"/>
            </w:tcBorders>
            <w:shd w:val="clear" w:color="auto" w:fill="auto"/>
            <w:vAlign w:val="center"/>
            <w:hideMark/>
          </w:tcPr>
          <w:p w:rsidR="00E2507D" w:rsidRPr="000D188A" w:rsidP="00E2507D">
            <w:pPr>
              <w:autoSpaceDE/>
              <w:autoSpaceDN/>
              <w:adjustRightInd/>
              <w:spacing w:after="0"/>
              <w:jc w:val="right"/>
              <w:rPr>
                <w:rFonts w:eastAsia="Times New Roman" w:cs="Arial"/>
                <w:lang w:eastAsia="en-GB"/>
              </w:rPr>
            </w:pPr>
            <w:r w:rsidRPr="000D188A">
              <w:rPr>
                <w:rFonts w:eastAsia="Times New Roman" w:cs="Arial"/>
                <w:lang w:eastAsia="en-GB"/>
              </w:rPr>
              <w:t>142.406</w:t>
            </w:r>
          </w:p>
        </w:tc>
        <w:tc>
          <w:tcPr>
            <w:tcW w:w="1230" w:type="dxa"/>
            <w:tcBorders>
              <w:top w:val="nil"/>
              <w:left w:val="nil"/>
              <w:bottom w:val="single" w:sz="8" w:space="0" w:color="auto"/>
              <w:right w:val="single" w:sz="8" w:space="0" w:color="auto"/>
            </w:tcBorders>
            <w:shd w:val="clear" w:color="auto" w:fill="auto"/>
            <w:vAlign w:val="center"/>
            <w:hideMark/>
          </w:tcPr>
          <w:p w:rsidR="00E2507D" w:rsidRPr="000D188A" w:rsidP="00E2507D">
            <w:pPr>
              <w:autoSpaceDE/>
              <w:autoSpaceDN/>
              <w:adjustRightInd/>
              <w:spacing w:after="0"/>
              <w:jc w:val="right"/>
              <w:rPr>
                <w:rFonts w:eastAsia="Times New Roman" w:cs="Arial"/>
                <w:lang w:eastAsia="en-GB"/>
              </w:rPr>
            </w:pPr>
            <w:r w:rsidRPr="000D188A">
              <w:rPr>
                <w:rFonts w:eastAsia="Times New Roman" w:cs="Arial"/>
                <w:lang w:eastAsia="en-GB"/>
              </w:rPr>
              <w:t>122.080</w:t>
            </w:r>
          </w:p>
        </w:tc>
      </w:tr>
      <w:tr w:rsidTr="00E2507D">
        <w:tblPrEx>
          <w:tblW w:w="8896" w:type="dxa"/>
          <w:tblLook w:val="04A0"/>
        </w:tblPrEx>
        <w:trPr>
          <w:trHeight w:val="322"/>
        </w:trPr>
        <w:tc>
          <w:tcPr>
            <w:tcW w:w="3741" w:type="dxa"/>
            <w:tcBorders>
              <w:top w:val="nil"/>
              <w:left w:val="single" w:sz="8" w:space="0" w:color="auto"/>
              <w:bottom w:val="single" w:sz="8" w:space="0" w:color="auto"/>
              <w:right w:val="single" w:sz="8" w:space="0" w:color="auto"/>
            </w:tcBorders>
            <w:shd w:val="clear" w:color="auto" w:fill="auto"/>
            <w:vAlign w:val="center"/>
            <w:hideMark/>
          </w:tcPr>
          <w:p w:rsidR="00E2507D" w:rsidRPr="000D188A" w:rsidP="00E2507D">
            <w:pPr>
              <w:autoSpaceDE/>
              <w:autoSpaceDN/>
              <w:adjustRightInd/>
              <w:spacing w:after="0"/>
              <w:jc w:val="left"/>
              <w:rPr>
                <w:rFonts w:eastAsia="Times New Roman" w:cs="Arial"/>
                <w:b/>
                <w:bCs/>
                <w:lang w:eastAsia="en-GB"/>
              </w:rPr>
            </w:pPr>
            <w:r w:rsidRPr="000D188A">
              <w:rPr>
                <w:rFonts w:eastAsia="Times New Roman" w:cs="Arial"/>
                <w:b/>
                <w:bCs/>
                <w:lang w:eastAsia="en-GB"/>
              </w:rPr>
              <w:t>Gap funding</w:t>
            </w:r>
          </w:p>
        </w:tc>
        <w:tc>
          <w:tcPr>
            <w:tcW w:w="1293" w:type="dxa"/>
            <w:tcBorders>
              <w:top w:val="nil"/>
              <w:left w:val="nil"/>
              <w:bottom w:val="single" w:sz="8" w:space="0" w:color="auto"/>
              <w:right w:val="single" w:sz="8" w:space="0" w:color="auto"/>
            </w:tcBorders>
            <w:shd w:val="clear" w:color="auto" w:fill="auto"/>
            <w:vAlign w:val="center"/>
            <w:hideMark/>
          </w:tcPr>
          <w:p w:rsidR="00E2507D" w:rsidRPr="000D188A" w:rsidP="00E2507D">
            <w:pPr>
              <w:autoSpaceDE/>
              <w:autoSpaceDN/>
              <w:adjustRightInd/>
              <w:spacing w:after="0"/>
              <w:jc w:val="right"/>
              <w:rPr>
                <w:rFonts w:eastAsia="Times New Roman" w:cs="Arial"/>
                <w:lang w:eastAsia="en-GB"/>
              </w:rPr>
            </w:pPr>
            <w:r w:rsidRPr="000D188A">
              <w:rPr>
                <w:rFonts w:eastAsia="Times New Roman" w:cs="Arial"/>
                <w:lang w:eastAsia="en-GB"/>
              </w:rPr>
              <w:t>-1.358</w:t>
            </w:r>
          </w:p>
        </w:tc>
        <w:tc>
          <w:tcPr>
            <w:tcW w:w="1384" w:type="dxa"/>
            <w:tcBorders>
              <w:top w:val="nil"/>
              <w:left w:val="nil"/>
              <w:bottom w:val="single" w:sz="8" w:space="0" w:color="auto"/>
              <w:right w:val="single" w:sz="8" w:space="0" w:color="auto"/>
            </w:tcBorders>
            <w:shd w:val="clear" w:color="auto" w:fill="auto"/>
            <w:vAlign w:val="center"/>
            <w:hideMark/>
          </w:tcPr>
          <w:p w:rsidR="00E2507D" w:rsidRPr="000D188A" w:rsidP="00E2507D">
            <w:pPr>
              <w:autoSpaceDE/>
              <w:autoSpaceDN/>
              <w:adjustRightInd/>
              <w:spacing w:after="0"/>
              <w:jc w:val="right"/>
              <w:rPr>
                <w:rFonts w:eastAsia="Times New Roman" w:cs="Arial"/>
                <w:lang w:eastAsia="en-GB"/>
              </w:rPr>
            </w:pPr>
            <w:r w:rsidRPr="000D188A">
              <w:rPr>
                <w:rFonts w:eastAsia="Times New Roman" w:cs="Arial"/>
                <w:lang w:eastAsia="en-GB"/>
              </w:rPr>
              <w:t>6.763</w:t>
            </w:r>
          </w:p>
        </w:tc>
        <w:tc>
          <w:tcPr>
            <w:tcW w:w="1248" w:type="dxa"/>
            <w:tcBorders>
              <w:top w:val="nil"/>
              <w:left w:val="nil"/>
              <w:bottom w:val="single" w:sz="8" w:space="0" w:color="auto"/>
              <w:right w:val="single" w:sz="8" w:space="0" w:color="auto"/>
            </w:tcBorders>
            <w:shd w:val="clear" w:color="auto" w:fill="auto"/>
            <w:vAlign w:val="center"/>
            <w:hideMark/>
          </w:tcPr>
          <w:p w:rsidR="00E2507D" w:rsidRPr="000D188A" w:rsidP="00E2507D">
            <w:pPr>
              <w:autoSpaceDE/>
              <w:autoSpaceDN/>
              <w:adjustRightInd/>
              <w:spacing w:after="0"/>
              <w:jc w:val="right"/>
              <w:rPr>
                <w:rFonts w:eastAsia="Times New Roman" w:cs="Arial"/>
                <w:lang w:eastAsia="en-GB"/>
              </w:rPr>
            </w:pPr>
            <w:r w:rsidRPr="000D188A">
              <w:rPr>
                <w:rFonts w:eastAsia="Times New Roman" w:cs="Arial"/>
                <w:lang w:eastAsia="en-GB"/>
              </w:rPr>
              <w:t>20.325</w:t>
            </w:r>
          </w:p>
        </w:tc>
        <w:tc>
          <w:tcPr>
            <w:tcW w:w="1230" w:type="dxa"/>
            <w:tcBorders>
              <w:top w:val="nil"/>
              <w:left w:val="nil"/>
              <w:bottom w:val="single" w:sz="8" w:space="0" w:color="auto"/>
              <w:right w:val="single" w:sz="8" w:space="0" w:color="auto"/>
            </w:tcBorders>
            <w:shd w:val="clear" w:color="auto" w:fill="auto"/>
            <w:vAlign w:val="center"/>
            <w:hideMark/>
          </w:tcPr>
          <w:p w:rsidR="00E2507D" w:rsidRPr="000D188A" w:rsidP="00E2507D">
            <w:pPr>
              <w:autoSpaceDE/>
              <w:autoSpaceDN/>
              <w:adjustRightInd/>
              <w:spacing w:after="0"/>
              <w:jc w:val="right"/>
              <w:rPr>
                <w:rFonts w:eastAsia="Times New Roman" w:cs="Arial"/>
                <w:lang w:eastAsia="en-GB"/>
              </w:rPr>
            </w:pPr>
            <w:r w:rsidRPr="000D188A">
              <w:rPr>
                <w:rFonts w:eastAsia="Times New Roman" w:cs="Arial"/>
                <w:lang w:eastAsia="en-GB"/>
              </w:rPr>
              <w:t>38.401</w:t>
            </w:r>
          </w:p>
        </w:tc>
      </w:tr>
      <w:tr w:rsidTr="00E2507D">
        <w:tblPrEx>
          <w:tblW w:w="8896" w:type="dxa"/>
          <w:tblLook w:val="04A0"/>
        </w:tblPrEx>
        <w:trPr>
          <w:trHeight w:val="312"/>
        </w:trPr>
        <w:tc>
          <w:tcPr>
            <w:tcW w:w="3741" w:type="dxa"/>
            <w:tcBorders>
              <w:top w:val="nil"/>
              <w:left w:val="single" w:sz="8" w:space="0" w:color="auto"/>
              <w:bottom w:val="single" w:sz="8" w:space="0" w:color="auto"/>
              <w:right w:val="single" w:sz="8" w:space="0" w:color="auto"/>
            </w:tcBorders>
            <w:shd w:val="clear" w:color="auto" w:fill="auto"/>
            <w:vAlign w:val="center"/>
            <w:hideMark/>
          </w:tcPr>
          <w:p w:rsidR="00E2507D" w:rsidRPr="000D188A" w:rsidP="00E2507D">
            <w:pPr>
              <w:autoSpaceDE/>
              <w:autoSpaceDN/>
              <w:adjustRightInd/>
              <w:spacing w:after="0"/>
              <w:jc w:val="left"/>
              <w:rPr>
                <w:rFonts w:eastAsia="Times New Roman" w:cs="Arial"/>
                <w:b/>
                <w:bCs/>
                <w:lang w:eastAsia="en-GB"/>
              </w:rPr>
            </w:pPr>
            <w:r w:rsidRPr="000D188A">
              <w:rPr>
                <w:rFonts w:eastAsia="Times New Roman" w:cs="Arial"/>
                <w:b/>
                <w:bCs/>
                <w:lang w:eastAsia="en-GB"/>
              </w:rPr>
              <w:t>Commitments</w:t>
            </w:r>
          </w:p>
        </w:tc>
        <w:tc>
          <w:tcPr>
            <w:tcW w:w="1293" w:type="dxa"/>
            <w:tcBorders>
              <w:top w:val="nil"/>
              <w:left w:val="nil"/>
              <w:bottom w:val="single" w:sz="8" w:space="0" w:color="auto"/>
              <w:right w:val="single" w:sz="8" w:space="0" w:color="auto"/>
            </w:tcBorders>
            <w:shd w:val="clear" w:color="auto" w:fill="auto"/>
            <w:vAlign w:val="center"/>
            <w:hideMark/>
          </w:tcPr>
          <w:p w:rsidR="00E2507D" w:rsidRPr="000D188A" w:rsidP="00E2507D">
            <w:pPr>
              <w:autoSpaceDE/>
              <w:autoSpaceDN/>
              <w:adjustRightInd/>
              <w:spacing w:after="0"/>
              <w:jc w:val="right"/>
              <w:rPr>
                <w:rFonts w:eastAsia="Times New Roman" w:cs="Arial"/>
                <w:lang w:eastAsia="en-GB"/>
              </w:rPr>
            </w:pPr>
            <w:r w:rsidRPr="000D188A">
              <w:rPr>
                <w:rFonts w:eastAsia="Times New Roman" w:cs="Arial"/>
                <w:lang w:eastAsia="en-GB"/>
              </w:rPr>
              <w:t>2.895</w:t>
            </w:r>
          </w:p>
        </w:tc>
        <w:tc>
          <w:tcPr>
            <w:tcW w:w="1384" w:type="dxa"/>
            <w:tcBorders>
              <w:top w:val="nil"/>
              <w:left w:val="nil"/>
              <w:bottom w:val="single" w:sz="8" w:space="0" w:color="auto"/>
              <w:right w:val="single" w:sz="8" w:space="0" w:color="auto"/>
            </w:tcBorders>
            <w:shd w:val="clear" w:color="auto" w:fill="auto"/>
            <w:vAlign w:val="center"/>
            <w:hideMark/>
          </w:tcPr>
          <w:p w:rsidR="00E2507D" w:rsidRPr="000D188A" w:rsidP="00E2507D">
            <w:pPr>
              <w:autoSpaceDE/>
              <w:autoSpaceDN/>
              <w:adjustRightInd/>
              <w:spacing w:after="0"/>
              <w:jc w:val="right"/>
              <w:rPr>
                <w:rFonts w:eastAsia="Times New Roman" w:cs="Arial"/>
                <w:lang w:eastAsia="en-GB"/>
              </w:rPr>
            </w:pPr>
            <w:r w:rsidRPr="000D188A">
              <w:rPr>
                <w:rFonts w:eastAsia="Times New Roman" w:cs="Arial"/>
                <w:lang w:eastAsia="en-GB"/>
              </w:rPr>
              <w:t>0.494</w:t>
            </w:r>
          </w:p>
        </w:tc>
        <w:tc>
          <w:tcPr>
            <w:tcW w:w="1248" w:type="dxa"/>
            <w:tcBorders>
              <w:top w:val="nil"/>
              <w:left w:val="nil"/>
              <w:bottom w:val="single" w:sz="8" w:space="0" w:color="auto"/>
              <w:right w:val="single" w:sz="8" w:space="0" w:color="auto"/>
            </w:tcBorders>
            <w:shd w:val="clear" w:color="auto" w:fill="auto"/>
            <w:vAlign w:val="center"/>
            <w:hideMark/>
          </w:tcPr>
          <w:p w:rsidR="00E2507D" w:rsidRPr="000D188A" w:rsidP="00E2507D">
            <w:pPr>
              <w:autoSpaceDE/>
              <w:autoSpaceDN/>
              <w:adjustRightInd/>
              <w:spacing w:after="0"/>
              <w:jc w:val="right"/>
              <w:rPr>
                <w:rFonts w:eastAsia="Times New Roman" w:cs="Arial"/>
                <w:lang w:eastAsia="en-GB"/>
              </w:rPr>
            </w:pPr>
            <w:r w:rsidRPr="000D188A">
              <w:rPr>
                <w:rFonts w:eastAsia="Times New Roman" w:cs="Arial"/>
                <w:lang w:eastAsia="en-GB"/>
              </w:rPr>
              <w:t>0.000</w:t>
            </w:r>
          </w:p>
        </w:tc>
        <w:tc>
          <w:tcPr>
            <w:tcW w:w="1230" w:type="dxa"/>
            <w:tcBorders>
              <w:top w:val="nil"/>
              <w:left w:val="nil"/>
              <w:bottom w:val="single" w:sz="8" w:space="0" w:color="auto"/>
              <w:right w:val="single" w:sz="8" w:space="0" w:color="auto"/>
            </w:tcBorders>
            <w:shd w:val="clear" w:color="auto" w:fill="auto"/>
            <w:vAlign w:val="center"/>
            <w:hideMark/>
          </w:tcPr>
          <w:p w:rsidR="00E2507D" w:rsidRPr="000D188A" w:rsidP="00E2507D">
            <w:pPr>
              <w:autoSpaceDE/>
              <w:autoSpaceDN/>
              <w:adjustRightInd/>
              <w:spacing w:after="0"/>
              <w:jc w:val="right"/>
              <w:rPr>
                <w:rFonts w:eastAsia="Times New Roman" w:cs="Arial"/>
                <w:lang w:eastAsia="en-GB"/>
              </w:rPr>
            </w:pPr>
            <w:r w:rsidRPr="000D188A">
              <w:rPr>
                <w:rFonts w:eastAsia="Times New Roman" w:cs="Arial"/>
                <w:lang w:eastAsia="en-GB"/>
              </w:rPr>
              <w:t>0.000</w:t>
            </w:r>
          </w:p>
        </w:tc>
      </w:tr>
      <w:tr w:rsidTr="00E2507D">
        <w:tblPrEx>
          <w:tblW w:w="8896" w:type="dxa"/>
          <w:tblLook w:val="04A0"/>
        </w:tblPrEx>
        <w:trPr>
          <w:trHeight w:val="312"/>
        </w:trPr>
        <w:tc>
          <w:tcPr>
            <w:tcW w:w="3741" w:type="dxa"/>
            <w:tcBorders>
              <w:top w:val="nil"/>
              <w:left w:val="single" w:sz="8" w:space="0" w:color="auto"/>
              <w:bottom w:val="single" w:sz="8" w:space="0" w:color="auto"/>
              <w:right w:val="single" w:sz="8" w:space="0" w:color="auto"/>
            </w:tcBorders>
            <w:shd w:val="clear" w:color="000000" w:fill="BFBFBF"/>
            <w:vAlign w:val="center"/>
            <w:hideMark/>
          </w:tcPr>
          <w:p w:rsidR="00E2507D" w:rsidRPr="000D188A" w:rsidP="00E2507D">
            <w:pPr>
              <w:autoSpaceDE/>
              <w:autoSpaceDN/>
              <w:adjustRightInd/>
              <w:spacing w:after="0"/>
              <w:jc w:val="left"/>
              <w:rPr>
                <w:rFonts w:eastAsia="Times New Roman" w:cs="Arial"/>
                <w:b/>
                <w:bCs/>
                <w:lang w:eastAsia="en-GB"/>
              </w:rPr>
            </w:pPr>
            <w:r w:rsidRPr="000D188A">
              <w:rPr>
                <w:rFonts w:eastAsia="Times New Roman" w:cs="Arial"/>
                <w:b/>
                <w:bCs/>
                <w:lang w:eastAsia="en-GB"/>
              </w:rPr>
              <w:t>Closing balance</w:t>
            </w:r>
          </w:p>
        </w:tc>
        <w:tc>
          <w:tcPr>
            <w:tcW w:w="1293" w:type="dxa"/>
            <w:tcBorders>
              <w:top w:val="nil"/>
              <w:left w:val="nil"/>
              <w:bottom w:val="single" w:sz="8" w:space="0" w:color="auto"/>
              <w:right w:val="single" w:sz="8" w:space="0" w:color="auto"/>
            </w:tcBorders>
            <w:shd w:val="clear" w:color="000000" w:fill="BFBFBF"/>
            <w:vAlign w:val="center"/>
            <w:hideMark/>
          </w:tcPr>
          <w:p w:rsidR="00E2507D" w:rsidRPr="000D188A" w:rsidP="00E2507D">
            <w:pPr>
              <w:autoSpaceDE/>
              <w:autoSpaceDN/>
              <w:adjustRightInd/>
              <w:spacing w:after="0"/>
              <w:jc w:val="right"/>
              <w:rPr>
                <w:rFonts w:eastAsia="Times New Roman" w:cs="Arial"/>
                <w:b/>
                <w:bCs/>
                <w:lang w:eastAsia="en-GB"/>
              </w:rPr>
            </w:pPr>
            <w:r w:rsidRPr="000D188A">
              <w:rPr>
                <w:rFonts w:eastAsia="Times New Roman" w:cs="Arial"/>
                <w:b/>
                <w:bCs/>
                <w:lang w:eastAsia="en-GB"/>
              </w:rPr>
              <w:t>149.662</w:t>
            </w:r>
          </w:p>
        </w:tc>
        <w:tc>
          <w:tcPr>
            <w:tcW w:w="1384" w:type="dxa"/>
            <w:tcBorders>
              <w:top w:val="nil"/>
              <w:left w:val="nil"/>
              <w:bottom w:val="single" w:sz="8" w:space="0" w:color="auto"/>
              <w:right w:val="single" w:sz="8" w:space="0" w:color="auto"/>
            </w:tcBorders>
            <w:shd w:val="clear" w:color="000000" w:fill="BFBFBF"/>
            <w:vAlign w:val="center"/>
            <w:hideMark/>
          </w:tcPr>
          <w:p w:rsidR="00E2507D" w:rsidRPr="000D188A" w:rsidP="00E2507D">
            <w:pPr>
              <w:autoSpaceDE/>
              <w:autoSpaceDN/>
              <w:adjustRightInd/>
              <w:spacing w:after="0"/>
              <w:jc w:val="right"/>
              <w:rPr>
                <w:rFonts w:eastAsia="Times New Roman" w:cs="Arial"/>
                <w:b/>
                <w:bCs/>
                <w:lang w:eastAsia="en-GB"/>
              </w:rPr>
            </w:pPr>
            <w:r w:rsidRPr="000D188A">
              <w:rPr>
                <w:rFonts w:eastAsia="Times New Roman" w:cs="Arial"/>
                <w:b/>
                <w:bCs/>
                <w:lang w:eastAsia="en-GB"/>
              </w:rPr>
              <w:t>142.406</w:t>
            </w:r>
          </w:p>
        </w:tc>
        <w:tc>
          <w:tcPr>
            <w:tcW w:w="1248" w:type="dxa"/>
            <w:tcBorders>
              <w:top w:val="nil"/>
              <w:left w:val="nil"/>
              <w:bottom w:val="single" w:sz="8" w:space="0" w:color="auto"/>
              <w:right w:val="single" w:sz="8" w:space="0" w:color="auto"/>
            </w:tcBorders>
            <w:shd w:val="clear" w:color="000000" w:fill="BFBFBF"/>
            <w:vAlign w:val="center"/>
            <w:hideMark/>
          </w:tcPr>
          <w:p w:rsidR="00E2507D" w:rsidRPr="000D188A" w:rsidP="00E2507D">
            <w:pPr>
              <w:autoSpaceDE/>
              <w:autoSpaceDN/>
              <w:adjustRightInd/>
              <w:spacing w:after="0"/>
              <w:jc w:val="right"/>
              <w:rPr>
                <w:rFonts w:eastAsia="Times New Roman" w:cs="Arial"/>
                <w:b/>
                <w:bCs/>
                <w:lang w:eastAsia="en-GB"/>
              </w:rPr>
            </w:pPr>
            <w:r w:rsidRPr="000D188A">
              <w:rPr>
                <w:rFonts w:eastAsia="Times New Roman" w:cs="Arial"/>
                <w:b/>
                <w:bCs/>
                <w:lang w:eastAsia="en-GB"/>
              </w:rPr>
              <w:t>122.080</w:t>
            </w:r>
          </w:p>
        </w:tc>
        <w:tc>
          <w:tcPr>
            <w:tcW w:w="1230" w:type="dxa"/>
            <w:tcBorders>
              <w:top w:val="nil"/>
              <w:left w:val="nil"/>
              <w:bottom w:val="single" w:sz="8" w:space="0" w:color="auto"/>
              <w:right w:val="single" w:sz="8" w:space="0" w:color="auto"/>
            </w:tcBorders>
            <w:shd w:val="clear" w:color="000000" w:fill="BFBFBF"/>
            <w:vAlign w:val="center"/>
            <w:hideMark/>
          </w:tcPr>
          <w:p w:rsidR="00E2507D" w:rsidRPr="000D188A" w:rsidP="00E2507D">
            <w:pPr>
              <w:autoSpaceDE/>
              <w:autoSpaceDN/>
              <w:adjustRightInd/>
              <w:spacing w:after="0"/>
              <w:jc w:val="right"/>
              <w:rPr>
                <w:rFonts w:eastAsia="Times New Roman" w:cs="Arial"/>
                <w:b/>
                <w:bCs/>
                <w:lang w:eastAsia="en-GB"/>
              </w:rPr>
            </w:pPr>
            <w:r w:rsidRPr="000D188A">
              <w:rPr>
                <w:rFonts w:eastAsia="Times New Roman" w:cs="Arial"/>
                <w:b/>
                <w:bCs/>
                <w:lang w:eastAsia="en-GB"/>
              </w:rPr>
              <w:t>83.679</w:t>
            </w:r>
          </w:p>
        </w:tc>
      </w:tr>
    </w:tbl>
    <w:p w:rsidR="00E2507D" w:rsidRPr="00506BBC" w:rsidP="00E2507D">
      <w:pPr>
        <w:tabs>
          <w:tab w:val="left" w:pos="567"/>
          <w:tab w:val="left" w:pos="1134"/>
        </w:tabs>
        <w:spacing w:after="0"/>
        <w:rPr>
          <w:rFonts w:cs="Arial"/>
          <w:highlight w:val="yellow"/>
        </w:rPr>
      </w:pPr>
    </w:p>
    <w:p w:rsidR="00E2507D" w:rsidP="00E2507D">
      <w:pPr>
        <w:tabs>
          <w:tab w:val="left" w:pos="851"/>
        </w:tabs>
        <w:spacing w:after="0"/>
        <w:rPr>
          <w:b/>
        </w:rPr>
      </w:pPr>
    </w:p>
    <w:p w:rsidR="00E2507D" w:rsidRPr="000E745B" w:rsidP="00E2507D">
      <w:pPr>
        <w:tabs>
          <w:tab w:val="left" w:pos="851"/>
        </w:tabs>
        <w:spacing w:after="0"/>
        <w:rPr>
          <w:b/>
        </w:rPr>
      </w:pPr>
      <w:r w:rsidRPr="000E745B">
        <w:rPr>
          <w:b/>
        </w:rPr>
        <w:t>7.</w:t>
      </w:r>
      <w:r w:rsidRPr="000E745B">
        <w:rPr>
          <w:b/>
        </w:rPr>
        <w:tab/>
        <w:t>Provision for Bad and Doubtful Debts</w:t>
      </w:r>
    </w:p>
    <w:p w:rsidR="00E2507D" w:rsidRPr="00506BBC" w:rsidP="00E2507D">
      <w:pPr>
        <w:spacing w:after="0"/>
        <w:rPr>
          <w:b/>
          <w:highlight w:val="yellow"/>
        </w:rPr>
      </w:pPr>
    </w:p>
    <w:p w:rsidR="00E2507D" w:rsidRPr="000E745B" w:rsidP="00E2507D">
      <w:pPr>
        <w:spacing w:after="0"/>
      </w:pPr>
      <w:r w:rsidRPr="000E745B">
        <w:t>In addition to general provisions against known liabilities the Council maintains a provision</w:t>
      </w:r>
      <w:r>
        <w:t xml:space="preserve"> against bad and doubtful debts.</w:t>
      </w:r>
      <w:r w:rsidRPr="000E745B">
        <w:t xml:space="preserve"> </w:t>
      </w:r>
      <w:r>
        <w:t xml:space="preserve"> For 2019/20 there has been a slight increase in the provision of £0.292m (1.6%).</w:t>
      </w:r>
    </w:p>
    <w:p w:rsidR="00E2507D" w:rsidRPr="00506BBC" w:rsidP="00E2507D">
      <w:pPr>
        <w:spacing w:after="0"/>
        <w:rPr>
          <w:highlight w:val="yellow"/>
        </w:rPr>
      </w:pPr>
    </w:p>
    <w:tbl>
      <w:tblPr>
        <w:tblW w:w="8931" w:type="dxa"/>
        <w:tblInd w:w="-10" w:type="dxa"/>
        <w:tblLook w:val="04A0"/>
      </w:tblPr>
      <w:tblGrid>
        <w:gridCol w:w="2835"/>
        <w:gridCol w:w="1985"/>
        <w:gridCol w:w="1984"/>
        <w:gridCol w:w="2127"/>
      </w:tblGrid>
      <w:tr w:rsidTr="00E2507D">
        <w:tblPrEx>
          <w:tblW w:w="8931" w:type="dxa"/>
          <w:tblInd w:w="-10" w:type="dxa"/>
          <w:tblLook w:val="04A0"/>
        </w:tblPrEx>
        <w:trPr>
          <w:trHeight w:val="340"/>
        </w:trPr>
        <w:tc>
          <w:tcPr>
            <w:tcW w:w="2835" w:type="dxa"/>
            <w:tcBorders>
              <w:top w:val="single" w:sz="8" w:space="0" w:color="auto"/>
              <w:left w:val="single" w:sz="8" w:space="0" w:color="auto"/>
              <w:right w:val="single" w:sz="4" w:space="0" w:color="auto"/>
            </w:tcBorders>
            <w:shd w:val="clear" w:color="000000" w:fill="BFBFBF"/>
            <w:vAlign w:val="center"/>
            <w:hideMark/>
          </w:tcPr>
          <w:p w:rsidR="00E2507D" w:rsidRPr="00506BBC" w:rsidP="00E2507D">
            <w:pPr>
              <w:autoSpaceDE/>
              <w:autoSpaceDN/>
              <w:adjustRightInd/>
              <w:spacing w:after="0"/>
              <w:jc w:val="center"/>
              <w:rPr>
                <w:rFonts w:eastAsia="Times New Roman" w:cs="Arial"/>
                <w:b/>
                <w:bCs/>
                <w:sz w:val="22"/>
                <w:szCs w:val="22"/>
                <w:highlight w:val="yellow"/>
                <w:lang w:eastAsia="en-GB"/>
              </w:rPr>
            </w:pPr>
          </w:p>
        </w:tc>
        <w:tc>
          <w:tcPr>
            <w:tcW w:w="1985" w:type="dxa"/>
            <w:tcBorders>
              <w:top w:val="single" w:sz="8" w:space="0" w:color="auto"/>
              <w:left w:val="nil"/>
              <w:right w:val="single" w:sz="4" w:space="0" w:color="auto"/>
            </w:tcBorders>
            <w:shd w:val="clear" w:color="000000" w:fill="BFBFBF"/>
            <w:vAlign w:val="center"/>
            <w:hideMark/>
          </w:tcPr>
          <w:p w:rsidR="00E2507D" w:rsidRPr="000E745B" w:rsidP="00E2507D">
            <w:pPr>
              <w:autoSpaceDE/>
              <w:autoSpaceDN/>
              <w:adjustRightInd/>
              <w:spacing w:after="0"/>
              <w:jc w:val="center"/>
              <w:rPr>
                <w:rFonts w:eastAsia="Times New Roman" w:cs="Arial"/>
                <w:b/>
                <w:bCs/>
                <w:sz w:val="22"/>
                <w:szCs w:val="22"/>
                <w:lang w:eastAsia="en-GB"/>
              </w:rPr>
            </w:pPr>
            <w:r w:rsidRPr="000E745B">
              <w:rPr>
                <w:rFonts w:eastAsia="Times New Roman" w:cs="Arial"/>
                <w:b/>
                <w:bCs/>
                <w:sz w:val="22"/>
                <w:szCs w:val="22"/>
                <w:lang w:eastAsia="en-GB"/>
              </w:rPr>
              <w:t xml:space="preserve">Opening Balance as at </w:t>
            </w:r>
            <w:r w:rsidRPr="000E745B">
              <w:rPr>
                <w:rFonts w:eastAsia="Times New Roman" w:cs="Arial"/>
                <w:b/>
                <w:bCs/>
                <w:sz w:val="22"/>
                <w:szCs w:val="22"/>
                <w:lang w:eastAsia="en-GB"/>
              </w:rPr>
              <w:br/>
              <w:t>1 April 2019</w:t>
            </w:r>
          </w:p>
        </w:tc>
        <w:tc>
          <w:tcPr>
            <w:tcW w:w="1984" w:type="dxa"/>
            <w:tcBorders>
              <w:top w:val="single" w:sz="8" w:space="0" w:color="auto"/>
              <w:left w:val="nil"/>
              <w:right w:val="single" w:sz="4" w:space="0" w:color="auto"/>
            </w:tcBorders>
            <w:shd w:val="clear" w:color="000000" w:fill="BFBFBF"/>
            <w:vAlign w:val="center"/>
            <w:hideMark/>
          </w:tcPr>
          <w:p w:rsidR="00E2507D" w:rsidRPr="000E745B" w:rsidP="00E2507D">
            <w:pPr>
              <w:autoSpaceDE/>
              <w:autoSpaceDN/>
              <w:adjustRightInd/>
              <w:spacing w:after="0"/>
              <w:jc w:val="center"/>
              <w:rPr>
                <w:rFonts w:eastAsia="Times New Roman" w:cs="Arial"/>
                <w:b/>
                <w:bCs/>
                <w:sz w:val="22"/>
                <w:szCs w:val="22"/>
                <w:lang w:eastAsia="en-GB"/>
              </w:rPr>
            </w:pPr>
            <w:r w:rsidRPr="000E745B">
              <w:rPr>
                <w:rFonts w:eastAsia="Times New Roman" w:cs="Arial"/>
                <w:b/>
                <w:bCs/>
                <w:sz w:val="22"/>
                <w:szCs w:val="22"/>
                <w:lang w:eastAsia="en-GB"/>
              </w:rPr>
              <w:t>In Year Changes</w:t>
            </w:r>
          </w:p>
        </w:tc>
        <w:tc>
          <w:tcPr>
            <w:tcW w:w="2127" w:type="dxa"/>
            <w:tcBorders>
              <w:top w:val="single" w:sz="8" w:space="0" w:color="auto"/>
              <w:left w:val="nil"/>
              <w:right w:val="single" w:sz="4" w:space="0" w:color="auto"/>
            </w:tcBorders>
            <w:shd w:val="clear" w:color="000000" w:fill="BFBFBF"/>
            <w:vAlign w:val="center"/>
            <w:hideMark/>
          </w:tcPr>
          <w:p w:rsidR="00E2507D" w:rsidRPr="000E745B" w:rsidP="00E2507D">
            <w:pPr>
              <w:autoSpaceDE/>
              <w:autoSpaceDN/>
              <w:adjustRightInd/>
              <w:spacing w:after="0"/>
              <w:jc w:val="center"/>
              <w:rPr>
                <w:rFonts w:eastAsia="Times New Roman" w:cs="Arial"/>
                <w:b/>
                <w:bCs/>
                <w:sz w:val="22"/>
                <w:szCs w:val="22"/>
                <w:lang w:eastAsia="en-GB"/>
              </w:rPr>
            </w:pPr>
            <w:r w:rsidRPr="000E745B">
              <w:rPr>
                <w:rFonts w:eastAsia="Times New Roman" w:cs="Arial"/>
                <w:b/>
                <w:bCs/>
                <w:sz w:val="22"/>
                <w:szCs w:val="22"/>
                <w:lang w:eastAsia="en-GB"/>
              </w:rPr>
              <w:t xml:space="preserve">Closing Balance as at </w:t>
            </w:r>
            <w:r w:rsidRPr="000E745B">
              <w:rPr>
                <w:rFonts w:eastAsia="Times New Roman" w:cs="Arial"/>
                <w:b/>
                <w:bCs/>
                <w:sz w:val="22"/>
                <w:szCs w:val="22"/>
                <w:lang w:eastAsia="en-GB"/>
              </w:rPr>
              <w:br/>
              <w:t>31st March 2020</w:t>
            </w:r>
          </w:p>
        </w:tc>
      </w:tr>
      <w:tr w:rsidTr="00E2507D">
        <w:tblPrEx>
          <w:tblW w:w="8931" w:type="dxa"/>
          <w:tblInd w:w="-10" w:type="dxa"/>
          <w:tblLook w:val="04A0"/>
        </w:tblPrEx>
        <w:trPr>
          <w:trHeight w:val="340"/>
        </w:trPr>
        <w:tc>
          <w:tcPr>
            <w:tcW w:w="2835" w:type="dxa"/>
            <w:tcBorders>
              <w:top w:val="nil"/>
              <w:left w:val="single" w:sz="8" w:space="0" w:color="auto"/>
              <w:bottom w:val="single" w:sz="4" w:space="0" w:color="auto"/>
              <w:right w:val="single" w:sz="4" w:space="0" w:color="auto"/>
            </w:tcBorders>
            <w:shd w:val="clear" w:color="000000" w:fill="BFBFBF"/>
            <w:vAlign w:val="bottom"/>
            <w:hideMark/>
          </w:tcPr>
          <w:p w:rsidR="00E2507D" w:rsidRPr="000E745B" w:rsidP="00E2507D">
            <w:pPr>
              <w:autoSpaceDE/>
              <w:autoSpaceDN/>
              <w:adjustRightInd/>
              <w:spacing w:after="0"/>
              <w:jc w:val="left"/>
              <w:rPr>
                <w:rFonts w:eastAsia="Times New Roman" w:cs="Arial"/>
                <w:sz w:val="22"/>
                <w:szCs w:val="22"/>
                <w:lang w:eastAsia="en-GB"/>
              </w:rPr>
            </w:pPr>
            <w:r w:rsidRPr="000E745B">
              <w:rPr>
                <w:rFonts w:eastAsia="Times New Roman" w:cs="Arial"/>
                <w:sz w:val="22"/>
                <w:szCs w:val="22"/>
                <w:lang w:eastAsia="en-GB"/>
              </w:rPr>
              <w:t> </w:t>
            </w:r>
          </w:p>
        </w:tc>
        <w:tc>
          <w:tcPr>
            <w:tcW w:w="1985" w:type="dxa"/>
            <w:tcBorders>
              <w:top w:val="nil"/>
              <w:left w:val="nil"/>
              <w:bottom w:val="single" w:sz="4" w:space="0" w:color="auto"/>
              <w:right w:val="single" w:sz="4" w:space="0" w:color="auto"/>
            </w:tcBorders>
            <w:shd w:val="clear" w:color="000000" w:fill="BFBFBF"/>
            <w:noWrap/>
            <w:vAlign w:val="bottom"/>
            <w:hideMark/>
          </w:tcPr>
          <w:p w:rsidR="00E2507D" w:rsidRPr="000E745B" w:rsidP="00E2507D">
            <w:pPr>
              <w:autoSpaceDE/>
              <w:autoSpaceDN/>
              <w:adjustRightInd/>
              <w:spacing w:after="0"/>
              <w:jc w:val="center"/>
              <w:rPr>
                <w:rFonts w:eastAsia="Times New Roman" w:cs="Arial"/>
                <w:b/>
                <w:bCs/>
                <w:sz w:val="22"/>
                <w:szCs w:val="22"/>
                <w:lang w:eastAsia="en-GB"/>
              </w:rPr>
            </w:pPr>
            <w:r w:rsidRPr="000E745B">
              <w:rPr>
                <w:rFonts w:eastAsia="Times New Roman" w:cs="Arial"/>
                <w:b/>
                <w:bCs/>
                <w:sz w:val="22"/>
                <w:szCs w:val="22"/>
                <w:lang w:eastAsia="en-GB"/>
              </w:rPr>
              <w:t>£m</w:t>
            </w:r>
          </w:p>
        </w:tc>
        <w:tc>
          <w:tcPr>
            <w:tcW w:w="1984" w:type="dxa"/>
            <w:tcBorders>
              <w:top w:val="nil"/>
              <w:left w:val="nil"/>
              <w:bottom w:val="single" w:sz="4" w:space="0" w:color="auto"/>
              <w:right w:val="single" w:sz="4" w:space="0" w:color="auto"/>
            </w:tcBorders>
            <w:shd w:val="clear" w:color="000000" w:fill="BFBFBF"/>
            <w:noWrap/>
            <w:vAlign w:val="center"/>
            <w:hideMark/>
          </w:tcPr>
          <w:p w:rsidR="00E2507D" w:rsidRPr="000E745B" w:rsidP="00E2507D">
            <w:pPr>
              <w:autoSpaceDE/>
              <w:autoSpaceDN/>
              <w:adjustRightInd/>
              <w:spacing w:after="0"/>
              <w:jc w:val="center"/>
              <w:rPr>
                <w:rFonts w:eastAsia="Times New Roman" w:cs="Arial"/>
                <w:b/>
                <w:bCs/>
                <w:sz w:val="22"/>
                <w:szCs w:val="22"/>
                <w:lang w:eastAsia="en-GB"/>
              </w:rPr>
            </w:pPr>
            <w:r w:rsidRPr="000E745B">
              <w:rPr>
                <w:rFonts w:eastAsia="Times New Roman" w:cs="Arial"/>
                <w:b/>
                <w:bCs/>
                <w:sz w:val="22"/>
                <w:szCs w:val="22"/>
                <w:lang w:eastAsia="en-GB"/>
              </w:rPr>
              <w:t>£m</w:t>
            </w:r>
          </w:p>
        </w:tc>
        <w:tc>
          <w:tcPr>
            <w:tcW w:w="2127" w:type="dxa"/>
            <w:tcBorders>
              <w:top w:val="nil"/>
              <w:left w:val="nil"/>
              <w:bottom w:val="single" w:sz="4" w:space="0" w:color="auto"/>
              <w:right w:val="single" w:sz="4" w:space="0" w:color="auto"/>
            </w:tcBorders>
            <w:shd w:val="clear" w:color="000000" w:fill="BFBFBF"/>
            <w:noWrap/>
            <w:vAlign w:val="center"/>
            <w:hideMark/>
          </w:tcPr>
          <w:p w:rsidR="00E2507D" w:rsidRPr="000E745B" w:rsidP="00E2507D">
            <w:pPr>
              <w:autoSpaceDE/>
              <w:autoSpaceDN/>
              <w:adjustRightInd/>
              <w:spacing w:after="0"/>
              <w:jc w:val="center"/>
              <w:rPr>
                <w:rFonts w:eastAsia="Times New Roman" w:cs="Arial"/>
                <w:b/>
                <w:bCs/>
                <w:sz w:val="22"/>
                <w:szCs w:val="22"/>
                <w:lang w:eastAsia="en-GB"/>
              </w:rPr>
            </w:pPr>
            <w:r w:rsidRPr="000E745B">
              <w:rPr>
                <w:rFonts w:eastAsia="Times New Roman" w:cs="Arial"/>
                <w:b/>
                <w:bCs/>
                <w:sz w:val="22"/>
                <w:szCs w:val="22"/>
                <w:lang w:eastAsia="en-GB"/>
              </w:rPr>
              <w:t>£m</w:t>
            </w:r>
          </w:p>
        </w:tc>
      </w:tr>
      <w:tr w:rsidTr="00E2507D">
        <w:tblPrEx>
          <w:tblW w:w="8931" w:type="dxa"/>
          <w:tblInd w:w="-10" w:type="dxa"/>
          <w:tblLook w:val="04A0"/>
        </w:tblPrEx>
        <w:trPr>
          <w:trHeight w:val="340"/>
        </w:trPr>
        <w:tc>
          <w:tcPr>
            <w:tcW w:w="2835" w:type="dxa"/>
            <w:tcBorders>
              <w:top w:val="nil"/>
              <w:left w:val="single" w:sz="8" w:space="0" w:color="auto"/>
              <w:bottom w:val="single" w:sz="4" w:space="0" w:color="auto"/>
              <w:right w:val="single" w:sz="4" w:space="0" w:color="auto"/>
            </w:tcBorders>
            <w:shd w:val="clear" w:color="auto" w:fill="auto"/>
            <w:vAlign w:val="center"/>
            <w:hideMark/>
          </w:tcPr>
          <w:p w:rsidR="00E2507D" w:rsidRPr="000E745B" w:rsidP="00E2507D">
            <w:pPr>
              <w:autoSpaceDE/>
              <w:autoSpaceDN/>
              <w:adjustRightInd/>
              <w:spacing w:after="0"/>
              <w:jc w:val="left"/>
              <w:rPr>
                <w:rFonts w:eastAsia="Times New Roman" w:cs="Arial"/>
                <w:sz w:val="22"/>
                <w:szCs w:val="22"/>
                <w:lang w:eastAsia="en-GB"/>
              </w:rPr>
            </w:pPr>
            <w:r w:rsidRPr="000E745B">
              <w:rPr>
                <w:rFonts w:eastAsia="Times New Roman" w:cs="Arial"/>
                <w:sz w:val="22"/>
                <w:szCs w:val="22"/>
                <w:lang w:eastAsia="en-GB"/>
              </w:rPr>
              <w:t>Corporate Bad Debt Provision</w:t>
            </w:r>
          </w:p>
        </w:tc>
        <w:tc>
          <w:tcPr>
            <w:tcW w:w="1985" w:type="dxa"/>
            <w:tcBorders>
              <w:top w:val="nil"/>
              <w:left w:val="nil"/>
              <w:bottom w:val="single" w:sz="4" w:space="0" w:color="auto"/>
              <w:right w:val="single" w:sz="4" w:space="0" w:color="auto"/>
            </w:tcBorders>
            <w:shd w:val="clear" w:color="auto" w:fill="auto"/>
            <w:noWrap/>
            <w:vAlign w:val="center"/>
            <w:hideMark/>
          </w:tcPr>
          <w:p w:rsidR="00E2507D" w:rsidRPr="00506BBC" w:rsidP="00E2507D">
            <w:pPr>
              <w:autoSpaceDE/>
              <w:autoSpaceDN/>
              <w:adjustRightInd/>
              <w:spacing w:after="0"/>
              <w:jc w:val="center"/>
              <w:rPr>
                <w:rFonts w:eastAsia="Times New Roman" w:cs="Arial"/>
                <w:sz w:val="22"/>
                <w:szCs w:val="22"/>
                <w:highlight w:val="yellow"/>
                <w:lang w:eastAsia="en-GB"/>
              </w:rPr>
            </w:pPr>
            <w:r w:rsidRPr="00B1547B">
              <w:rPr>
                <w:rFonts w:eastAsia="Times New Roman" w:cs="Arial"/>
                <w:sz w:val="22"/>
                <w:szCs w:val="22"/>
                <w:lang w:eastAsia="en-GB"/>
              </w:rPr>
              <w:t>-18.161</w:t>
            </w:r>
          </w:p>
        </w:tc>
        <w:tc>
          <w:tcPr>
            <w:tcW w:w="1984" w:type="dxa"/>
            <w:tcBorders>
              <w:top w:val="nil"/>
              <w:left w:val="nil"/>
              <w:bottom w:val="single" w:sz="4" w:space="0" w:color="auto"/>
              <w:right w:val="single" w:sz="4" w:space="0" w:color="auto"/>
            </w:tcBorders>
            <w:shd w:val="clear" w:color="auto" w:fill="auto"/>
            <w:noWrap/>
            <w:vAlign w:val="center"/>
            <w:hideMark/>
          </w:tcPr>
          <w:p w:rsidR="00E2507D" w:rsidRPr="00506BBC" w:rsidP="00E2507D">
            <w:pPr>
              <w:autoSpaceDE/>
              <w:autoSpaceDN/>
              <w:adjustRightInd/>
              <w:spacing w:after="0"/>
              <w:jc w:val="center"/>
              <w:rPr>
                <w:rFonts w:eastAsia="Times New Roman" w:cs="Arial"/>
                <w:sz w:val="22"/>
                <w:szCs w:val="22"/>
                <w:highlight w:val="yellow"/>
                <w:lang w:eastAsia="en-GB"/>
              </w:rPr>
            </w:pPr>
            <w:r w:rsidRPr="00B1547B">
              <w:rPr>
                <w:rFonts w:eastAsia="Times New Roman" w:cs="Arial"/>
                <w:sz w:val="22"/>
                <w:szCs w:val="22"/>
                <w:lang w:eastAsia="en-GB"/>
              </w:rPr>
              <w:t>-0.292</w:t>
            </w:r>
          </w:p>
        </w:tc>
        <w:tc>
          <w:tcPr>
            <w:tcW w:w="2127" w:type="dxa"/>
            <w:tcBorders>
              <w:top w:val="nil"/>
              <w:left w:val="nil"/>
              <w:bottom w:val="single" w:sz="4" w:space="0" w:color="auto"/>
              <w:right w:val="single" w:sz="4" w:space="0" w:color="auto"/>
            </w:tcBorders>
            <w:shd w:val="clear" w:color="auto" w:fill="auto"/>
            <w:noWrap/>
            <w:vAlign w:val="center"/>
            <w:hideMark/>
          </w:tcPr>
          <w:p w:rsidR="00E2507D" w:rsidRPr="00506BBC" w:rsidP="00E2507D">
            <w:pPr>
              <w:autoSpaceDE/>
              <w:autoSpaceDN/>
              <w:adjustRightInd/>
              <w:spacing w:after="0"/>
              <w:jc w:val="center"/>
              <w:rPr>
                <w:rFonts w:eastAsia="Times New Roman" w:cs="Arial"/>
                <w:sz w:val="22"/>
                <w:szCs w:val="22"/>
                <w:highlight w:val="yellow"/>
                <w:lang w:eastAsia="en-GB"/>
              </w:rPr>
            </w:pPr>
            <w:r w:rsidRPr="00B1547B">
              <w:rPr>
                <w:rFonts w:eastAsia="Times New Roman" w:cs="Arial"/>
                <w:sz w:val="22"/>
                <w:szCs w:val="22"/>
                <w:lang w:eastAsia="en-GB"/>
              </w:rPr>
              <w:t>-18.453</w:t>
            </w:r>
          </w:p>
        </w:tc>
      </w:tr>
    </w:tbl>
    <w:p w:rsidR="00E2507D" w:rsidRPr="00506BBC" w:rsidP="00E2507D">
      <w:pPr>
        <w:spacing w:after="0"/>
        <w:rPr>
          <w:highlight w:val="yellow"/>
        </w:rPr>
      </w:pPr>
    </w:p>
    <w:p w:rsidR="00E2507D" w:rsidRPr="00506BBC" w:rsidP="00E2507D">
      <w:pPr>
        <w:autoSpaceDE/>
        <w:autoSpaceDN/>
        <w:adjustRightInd/>
        <w:spacing w:after="0"/>
        <w:rPr>
          <w:highlight w:val="yellow"/>
        </w:rPr>
      </w:pPr>
    </w:p>
    <w:p w:rsidR="00E2507D" w:rsidRPr="00506BBC" w:rsidP="00E2507D">
      <w:pPr>
        <w:autoSpaceDE/>
        <w:autoSpaceDN/>
        <w:adjustRightInd/>
        <w:spacing w:after="0"/>
        <w:rPr>
          <w:b/>
          <w:highlight w:val="yellow"/>
        </w:rPr>
      </w:pPr>
      <w:r w:rsidRPr="00506BBC">
        <w:rPr>
          <w:b/>
          <w:highlight w:val="yellow"/>
        </w:rPr>
        <w:br w:type="page"/>
      </w:r>
    </w:p>
    <w:p w:rsidR="00E2507D" w:rsidRPr="000E745B" w:rsidP="00E2507D">
      <w:pPr>
        <w:tabs>
          <w:tab w:val="left" w:pos="851"/>
        </w:tabs>
        <w:spacing w:after="0"/>
        <w:rPr>
          <w:b/>
        </w:rPr>
      </w:pPr>
      <w:r w:rsidRPr="000E745B">
        <w:rPr>
          <w:b/>
        </w:rPr>
        <w:t>8.</w:t>
      </w:r>
      <w:r w:rsidRPr="000E745B">
        <w:rPr>
          <w:b/>
        </w:rPr>
        <w:tab/>
        <w:t>General Provisions</w:t>
      </w:r>
    </w:p>
    <w:p w:rsidR="00E2507D" w:rsidRPr="00506BBC" w:rsidP="00E2507D">
      <w:pPr>
        <w:spacing w:after="0"/>
        <w:rPr>
          <w:b/>
          <w:highlight w:val="yellow"/>
        </w:rPr>
      </w:pPr>
    </w:p>
    <w:p w:rsidR="00E2507D" w:rsidRPr="000E745B" w:rsidP="00E2507D">
      <w:pPr>
        <w:spacing w:after="0"/>
      </w:pPr>
      <w:r w:rsidRPr="000E745B">
        <w:t>General Provisions which are set aside for specifically quantified liabilities such as insurance claims. Movements in general provisions are summarised in the table below:</w:t>
      </w:r>
    </w:p>
    <w:tbl>
      <w:tblPr>
        <w:tblW w:w="9214" w:type="dxa"/>
        <w:tblInd w:w="-10" w:type="dxa"/>
        <w:tblLook w:val="04A0"/>
      </w:tblPr>
      <w:tblGrid>
        <w:gridCol w:w="3828"/>
        <w:gridCol w:w="1842"/>
        <w:gridCol w:w="1701"/>
        <w:gridCol w:w="1843"/>
      </w:tblGrid>
      <w:tr w:rsidTr="00E2507D">
        <w:tblPrEx>
          <w:tblW w:w="9214" w:type="dxa"/>
          <w:tblInd w:w="-10" w:type="dxa"/>
          <w:tblLook w:val="04A0"/>
        </w:tblPrEx>
        <w:trPr>
          <w:trHeight w:val="1125"/>
        </w:trPr>
        <w:tc>
          <w:tcPr>
            <w:tcW w:w="3828" w:type="dxa"/>
            <w:tcBorders>
              <w:top w:val="single" w:sz="8" w:space="0" w:color="auto"/>
              <w:left w:val="single" w:sz="8" w:space="0" w:color="auto"/>
              <w:right w:val="single" w:sz="4" w:space="0" w:color="auto"/>
            </w:tcBorders>
            <w:shd w:val="clear" w:color="000000" w:fill="BFBFBF"/>
            <w:vAlign w:val="center"/>
            <w:hideMark/>
          </w:tcPr>
          <w:p w:rsidR="00E2507D" w:rsidRPr="002C18EB" w:rsidP="00E2507D">
            <w:pPr>
              <w:rPr>
                <w:b/>
                <w:bCs/>
              </w:rPr>
            </w:pPr>
          </w:p>
        </w:tc>
        <w:tc>
          <w:tcPr>
            <w:tcW w:w="1842" w:type="dxa"/>
            <w:tcBorders>
              <w:top w:val="single" w:sz="8" w:space="0" w:color="auto"/>
              <w:left w:val="nil"/>
              <w:right w:val="single" w:sz="4" w:space="0" w:color="auto"/>
            </w:tcBorders>
            <w:shd w:val="clear" w:color="000000" w:fill="BFBFBF"/>
            <w:vAlign w:val="center"/>
            <w:hideMark/>
          </w:tcPr>
          <w:p w:rsidR="00E2507D" w:rsidRPr="002C18EB" w:rsidP="00256685">
            <w:pPr>
              <w:jc w:val="center"/>
              <w:rPr>
                <w:b/>
                <w:bCs/>
              </w:rPr>
            </w:pPr>
            <w:r w:rsidRPr="002C18EB">
              <w:rPr>
                <w:b/>
                <w:bCs/>
              </w:rPr>
              <w:t>Opening Balance as at 1 April 2019</w:t>
            </w:r>
          </w:p>
        </w:tc>
        <w:tc>
          <w:tcPr>
            <w:tcW w:w="1701" w:type="dxa"/>
            <w:tcBorders>
              <w:top w:val="single" w:sz="8" w:space="0" w:color="auto"/>
              <w:left w:val="nil"/>
              <w:right w:val="single" w:sz="4" w:space="0" w:color="auto"/>
            </w:tcBorders>
            <w:shd w:val="clear" w:color="000000" w:fill="BFBFBF"/>
            <w:vAlign w:val="center"/>
            <w:hideMark/>
          </w:tcPr>
          <w:p w:rsidR="00E2507D" w:rsidRPr="002C18EB" w:rsidP="00256685">
            <w:pPr>
              <w:jc w:val="center"/>
              <w:rPr>
                <w:b/>
                <w:bCs/>
              </w:rPr>
            </w:pPr>
            <w:r w:rsidRPr="002C18EB">
              <w:rPr>
                <w:b/>
                <w:bCs/>
              </w:rPr>
              <w:t>In Year Changes</w:t>
            </w:r>
          </w:p>
        </w:tc>
        <w:tc>
          <w:tcPr>
            <w:tcW w:w="1843" w:type="dxa"/>
            <w:tcBorders>
              <w:top w:val="single" w:sz="8" w:space="0" w:color="auto"/>
              <w:left w:val="nil"/>
              <w:right w:val="single" w:sz="4" w:space="0" w:color="auto"/>
            </w:tcBorders>
            <w:shd w:val="clear" w:color="000000" w:fill="BFBFBF"/>
            <w:vAlign w:val="center"/>
            <w:hideMark/>
          </w:tcPr>
          <w:p w:rsidR="00E2507D" w:rsidRPr="002C18EB" w:rsidP="00256685">
            <w:pPr>
              <w:jc w:val="center"/>
              <w:rPr>
                <w:b/>
                <w:bCs/>
              </w:rPr>
            </w:pPr>
            <w:r w:rsidRPr="002C18EB">
              <w:rPr>
                <w:b/>
                <w:bCs/>
              </w:rPr>
              <w:t>Closing Balance as at 31st March 2020</w:t>
            </w:r>
          </w:p>
        </w:tc>
      </w:tr>
      <w:tr w:rsidTr="00E2507D">
        <w:tblPrEx>
          <w:tblW w:w="9214" w:type="dxa"/>
          <w:tblInd w:w="-10" w:type="dxa"/>
          <w:tblLook w:val="04A0"/>
        </w:tblPrEx>
        <w:trPr>
          <w:trHeight w:val="255"/>
        </w:trPr>
        <w:tc>
          <w:tcPr>
            <w:tcW w:w="3828" w:type="dxa"/>
            <w:tcBorders>
              <w:top w:val="nil"/>
              <w:left w:val="single" w:sz="8" w:space="0" w:color="auto"/>
              <w:bottom w:val="single" w:sz="4" w:space="0" w:color="auto"/>
              <w:right w:val="single" w:sz="4" w:space="0" w:color="auto"/>
            </w:tcBorders>
            <w:shd w:val="clear" w:color="000000" w:fill="BFBFBF"/>
            <w:vAlign w:val="bottom"/>
            <w:hideMark/>
          </w:tcPr>
          <w:p w:rsidR="00E2507D" w:rsidRPr="002C18EB" w:rsidP="00E2507D">
            <w:r w:rsidRPr="002C18EB">
              <w:t> </w:t>
            </w:r>
          </w:p>
        </w:tc>
        <w:tc>
          <w:tcPr>
            <w:tcW w:w="1842" w:type="dxa"/>
            <w:tcBorders>
              <w:top w:val="nil"/>
              <w:left w:val="nil"/>
              <w:bottom w:val="single" w:sz="4" w:space="0" w:color="auto"/>
              <w:right w:val="single" w:sz="4" w:space="0" w:color="auto"/>
            </w:tcBorders>
            <w:shd w:val="clear" w:color="000000" w:fill="BFBFBF"/>
            <w:noWrap/>
            <w:vAlign w:val="bottom"/>
            <w:hideMark/>
          </w:tcPr>
          <w:p w:rsidR="00E2507D" w:rsidRPr="002C18EB" w:rsidP="00256685">
            <w:pPr>
              <w:jc w:val="center"/>
              <w:rPr>
                <w:b/>
                <w:bCs/>
              </w:rPr>
            </w:pPr>
            <w:r w:rsidRPr="002C18EB">
              <w:rPr>
                <w:b/>
                <w:bCs/>
              </w:rPr>
              <w:t>£m</w:t>
            </w:r>
          </w:p>
        </w:tc>
        <w:tc>
          <w:tcPr>
            <w:tcW w:w="1701" w:type="dxa"/>
            <w:tcBorders>
              <w:top w:val="nil"/>
              <w:left w:val="nil"/>
              <w:bottom w:val="single" w:sz="4" w:space="0" w:color="auto"/>
              <w:right w:val="single" w:sz="4" w:space="0" w:color="auto"/>
            </w:tcBorders>
            <w:shd w:val="clear" w:color="000000" w:fill="BFBFBF"/>
            <w:noWrap/>
            <w:vAlign w:val="center"/>
            <w:hideMark/>
          </w:tcPr>
          <w:p w:rsidR="00E2507D" w:rsidRPr="002C18EB" w:rsidP="00256685">
            <w:pPr>
              <w:jc w:val="center"/>
              <w:rPr>
                <w:b/>
                <w:bCs/>
              </w:rPr>
            </w:pPr>
            <w:r w:rsidRPr="002C18EB">
              <w:rPr>
                <w:b/>
                <w:bCs/>
              </w:rPr>
              <w:t>£m</w:t>
            </w:r>
          </w:p>
        </w:tc>
        <w:tc>
          <w:tcPr>
            <w:tcW w:w="1843" w:type="dxa"/>
            <w:tcBorders>
              <w:top w:val="nil"/>
              <w:left w:val="nil"/>
              <w:bottom w:val="single" w:sz="4" w:space="0" w:color="auto"/>
              <w:right w:val="single" w:sz="4" w:space="0" w:color="auto"/>
            </w:tcBorders>
            <w:shd w:val="clear" w:color="000000" w:fill="BFBFBF"/>
            <w:noWrap/>
            <w:vAlign w:val="center"/>
            <w:hideMark/>
          </w:tcPr>
          <w:p w:rsidR="00E2507D" w:rsidRPr="002C18EB" w:rsidP="00256685">
            <w:pPr>
              <w:jc w:val="center"/>
              <w:rPr>
                <w:b/>
                <w:bCs/>
              </w:rPr>
            </w:pPr>
            <w:r w:rsidRPr="002C18EB">
              <w:rPr>
                <w:b/>
                <w:bCs/>
              </w:rPr>
              <w:t>£m</w:t>
            </w:r>
          </w:p>
        </w:tc>
      </w:tr>
      <w:tr w:rsidTr="00E2507D">
        <w:tblPrEx>
          <w:tblW w:w="9214" w:type="dxa"/>
          <w:tblInd w:w="-10" w:type="dxa"/>
          <w:tblLook w:val="04A0"/>
        </w:tblPrEx>
        <w:trPr>
          <w:trHeight w:val="51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E2507D" w:rsidRPr="002C18EB" w:rsidP="00E2507D">
            <w:r w:rsidRPr="002C18EB">
              <w:t>Adult Services - Safeguarding</w:t>
            </w:r>
          </w:p>
        </w:tc>
        <w:tc>
          <w:tcPr>
            <w:tcW w:w="1842" w:type="dxa"/>
            <w:tcBorders>
              <w:top w:val="nil"/>
              <w:left w:val="nil"/>
              <w:bottom w:val="single" w:sz="4" w:space="0" w:color="auto"/>
              <w:right w:val="single" w:sz="4" w:space="0" w:color="auto"/>
            </w:tcBorders>
            <w:shd w:val="clear" w:color="auto" w:fill="auto"/>
            <w:noWrap/>
            <w:vAlign w:val="center"/>
            <w:hideMark/>
          </w:tcPr>
          <w:p w:rsidR="00E2507D" w:rsidRPr="002C18EB" w:rsidP="00256685">
            <w:pPr>
              <w:jc w:val="right"/>
            </w:pPr>
            <w:r w:rsidRPr="002C18EB">
              <w:t>-</w:t>
            </w:r>
            <w:r>
              <w:t>1.000</w:t>
            </w:r>
          </w:p>
        </w:tc>
        <w:tc>
          <w:tcPr>
            <w:tcW w:w="1701" w:type="dxa"/>
            <w:tcBorders>
              <w:top w:val="nil"/>
              <w:left w:val="nil"/>
              <w:bottom w:val="single" w:sz="4" w:space="0" w:color="auto"/>
              <w:right w:val="single" w:sz="4" w:space="0" w:color="auto"/>
            </w:tcBorders>
            <w:shd w:val="clear" w:color="auto" w:fill="auto"/>
            <w:noWrap/>
            <w:vAlign w:val="center"/>
            <w:hideMark/>
          </w:tcPr>
          <w:p w:rsidR="00E2507D" w:rsidRPr="002C18EB" w:rsidP="00256685">
            <w:pPr>
              <w:jc w:val="right"/>
            </w:pPr>
            <w:r>
              <w:t>0.0</w:t>
            </w:r>
            <w:r w:rsidRPr="002C18EB">
              <w:t>00</w:t>
            </w:r>
          </w:p>
        </w:tc>
        <w:tc>
          <w:tcPr>
            <w:tcW w:w="1843" w:type="dxa"/>
            <w:tcBorders>
              <w:top w:val="nil"/>
              <w:left w:val="nil"/>
              <w:bottom w:val="single" w:sz="4" w:space="0" w:color="auto"/>
              <w:right w:val="single" w:sz="4" w:space="0" w:color="auto"/>
            </w:tcBorders>
            <w:shd w:val="clear" w:color="auto" w:fill="auto"/>
            <w:noWrap/>
            <w:vAlign w:val="center"/>
            <w:hideMark/>
          </w:tcPr>
          <w:p w:rsidR="00E2507D" w:rsidRPr="002C18EB" w:rsidP="00256685">
            <w:pPr>
              <w:jc w:val="right"/>
            </w:pPr>
            <w:r w:rsidRPr="002C18EB">
              <w:t>-1.000</w:t>
            </w:r>
          </w:p>
        </w:tc>
      </w:tr>
      <w:tr w:rsidTr="00E2507D">
        <w:tblPrEx>
          <w:tblW w:w="9214" w:type="dxa"/>
          <w:tblInd w:w="-10" w:type="dxa"/>
          <w:tblLook w:val="04A0"/>
        </w:tblPrEx>
        <w:trPr>
          <w:trHeight w:val="510"/>
        </w:trPr>
        <w:tc>
          <w:tcPr>
            <w:tcW w:w="3828" w:type="dxa"/>
            <w:tcBorders>
              <w:top w:val="nil"/>
              <w:left w:val="single" w:sz="8" w:space="0" w:color="auto"/>
              <w:bottom w:val="single" w:sz="4" w:space="0" w:color="auto"/>
              <w:right w:val="single" w:sz="4" w:space="0" w:color="auto"/>
            </w:tcBorders>
            <w:shd w:val="clear" w:color="auto" w:fill="auto"/>
            <w:vAlign w:val="center"/>
          </w:tcPr>
          <w:p w:rsidR="00E2507D" w:rsidRPr="002C18EB" w:rsidP="00E2507D">
            <w:r w:rsidRPr="002C18EB">
              <w:t>Adult Services – General</w:t>
            </w:r>
          </w:p>
        </w:tc>
        <w:tc>
          <w:tcPr>
            <w:tcW w:w="1842" w:type="dxa"/>
            <w:tcBorders>
              <w:top w:val="nil"/>
              <w:left w:val="nil"/>
              <w:bottom w:val="single" w:sz="4" w:space="0" w:color="auto"/>
              <w:right w:val="single" w:sz="4" w:space="0" w:color="auto"/>
            </w:tcBorders>
            <w:shd w:val="clear" w:color="auto" w:fill="auto"/>
            <w:noWrap/>
            <w:vAlign w:val="center"/>
          </w:tcPr>
          <w:p w:rsidR="00E2507D" w:rsidRPr="002C18EB" w:rsidP="00256685">
            <w:pPr>
              <w:jc w:val="right"/>
            </w:pPr>
            <w:r w:rsidRPr="002C18EB">
              <w:t>-2.778</w:t>
            </w:r>
          </w:p>
        </w:tc>
        <w:tc>
          <w:tcPr>
            <w:tcW w:w="1701" w:type="dxa"/>
            <w:tcBorders>
              <w:top w:val="nil"/>
              <w:left w:val="nil"/>
              <w:bottom w:val="single" w:sz="4" w:space="0" w:color="auto"/>
              <w:right w:val="single" w:sz="4" w:space="0" w:color="auto"/>
            </w:tcBorders>
            <w:shd w:val="clear" w:color="auto" w:fill="auto"/>
            <w:noWrap/>
            <w:vAlign w:val="center"/>
          </w:tcPr>
          <w:p w:rsidR="00E2507D" w:rsidRPr="002C18EB" w:rsidP="00256685">
            <w:pPr>
              <w:jc w:val="right"/>
            </w:pPr>
            <w:r>
              <w:t>0.926</w:t>
            </w:r>
          </w:p>
        </w:tc>
        <w:tc>
          <w:tcPr>
            <w:tcW w:w="1843" w:type="dxa"/>
            <w:tcBorders>
              <w:top w:val="nil"/>
              <w:left w:val="nil"/>
              <w:bottom w:val="single" w:sz="4" w:space="0" w:color="auto"/>
              <w:right w:val="single" w:sz="4" w:space="0" w:color="auto"/>
            </w:tcBorders>
            <w:shd w:val="clear" w:color="auto" w:fill="auto"/>
            <w:noWrap/>
            <w:vAlign w:val="center"/>
          </w:tcPr>
          <w:p w:rsidR="00E2507D" w:rsidRPr="002C18EB" w:rsidP="00256685">
            <w:pPr>
              <w:jc w:val="right"/>
            </w:pPr>
            <w:r>
              <w:t>-1.852</w:t>
            </w:r>
          </w:p>
        </w:tc>
      </w:tr>
      <w:tr w:rsidTr="00E2507D">
        <w:tblPrEx>
          <w:tblW w:w="9214" w:type="dxa"/>
          <w:tblInd w:w="-10" w:type="dxa"/>
          <w:tblLook w:val="04A0"/>
        </w:tblPrEx>
        <w:trPr>
          <w:trHeight w:val="510"/>
        </w:trPr>
        <w:tc>
          <w:tcPr>
            <w:tcW w:w="3828" w:type="dxa"/>
            <w:tcBorders>
              <w:top w:val="nil"/>
              <w:left w:val="single" w:sz="8" w:space="0" w:color="auto"/>
              <w:bottom w:val="single" w:sz="4" w:space="0" w:color="auto"/>
              <w:right w:val="single" w:sz="4" w:space="0" w:color="auto"/>
            </w:tcBorders>
            <w:shd w:val="clear" w:color="auto" w:fill="auto"/>
            <w:vAlign w:val="center"/>
          </w:tcPr>
          <w:p w:rsidR="00E2507D" w:rsidRPr="002C18EB" w:rsidP="00E2507D">
            <w:r w:rsidRPr="002C18EB">
              <w:t>Financial Resources</w:t>
            </w:r>
          </w:p>
        </w:tc>
        <w:tc>
          <w:tcPr>
            <w:tcW w:w="1842" w:type="dxa"/>
            <w:tcBorders>
              <w:top w:val="nil"/>
              <w:left w:val="nil"/>
              <w:bottom w:val="single" w:sz="4" w:space="0" w:color="auto"/>
              <w:right w:val="single" w:sz="4" w:space="0" w:color="auto"/>
            </w:tcBorders>
            <w:shd w:val="clear" w:color="auto" w:fill="auto"/>
            <w:noWrap/>
            <w:vAlign w:val="center"/>
          </w:tcPr>
          <w:p w:rsidR="00E2507D" w:rsidRPr="002C18EB" w:rsidP="00256685">
            <w:pPr>
              <w:jc w:val="right"/>
            </w:pPr>
            <w:r w:rsidRPr="002C18EB">
              <w:t>-0.086</w:t>
            </w:r>
          </w:p>
        </w:tc>
        <w:tc>
          <w:tcPr>
            <w:tcW w:w="1701" w:type="dxa"/>
            <w:tcBorders>
              <w:top w:val="nil"/>
              <w:left w:val="nil"/>
              <w:bottom w:val="single" w:sz="4" w:space="0" w:color="auto"/>
              <w:right w:val="single" w:sz="4" w:space="0" w:color="auto"/>
            </w:tcBorders>
            <w:shd w:val="clear" w:color="auto" w:fill="auto"/>
            <w:noWrap/>
            <w:vAlign w:val="center"/>
          </w:tcPr>
          <w:p w:rsidR="00E2507D" w:rsidRPr="002C18EB" w:rsidP="00256685">
            <w:pPr>
              <w:jc w:val="right"/>
            </w:pPr>
            <w:r>
              <w:t>-0.043</w:t>
            </w:r>
          </w:p>
        </w:tc>
        <w:tc>
          <w:tcPr>
            <w:tcW w:w="1843" w:type="dxa"/>
            <w:tcBorders>
              <w:top w:val="nil"/>
              <w:left w:val="nil"/>
              <w:bottom w:val="single" w:sz="4" w:space="0" w:color="auto"/>
              <w:right w:val="single" w:sz="4" w:space="0" w:color="auto"/>
            </w:tcBorders>
            <w:shd w:val="clear" w:color="auto" w:fill="auto"/>
            <w:noWrap/>
            <w:vAlign w:val="center"/>
          </w:tcPr>
          <w:p w:rsidR="00E2507D" w:rsidRPr="002C18EB" w:rsidP="00256685">
            <w:pPr>
              <w:jc w:val="right"/>
            </w:pPr>
            <w:r w:rsidRPr="002C18EB">
              <w:t>-</w:t>
            </w:r>
            <w:r>
              <w:t>0.129</w:t>
            </w:r>
          </w:p>
        </w:tc>
      </w:tr>
      <w:tr w:rsidTr="00E2507D">
        <w:tblPrEx>
          <w:tblW w:w="9214" w:type="dxa"/>
          <w:tblInd w:w="-10" w:type="dxa"/>
          <w:tblLook w:val="04A0"/>
        </w:tblPrEx>
        <w:trPr>
          <w:trHeight w:val="510"/>
        </w:trPr>
        <w:tc>
          <w:tcPr>
            <w:tcW w:w="3828" w:type="dxa"/>
            <w:tcBorders>
              <w:top w:val="nil"/>
              <w:left w:val="single" w:sz="8" w:space="0" w:color="auto"/>
              <w:bottom w:val="single" w:sz="4" w:space="0" w:color="auto"/>
              <w:right w:val="single" w:sz="4" w:space="0" w:color="auto"/>
            </w:tcBorders>
            <w:shd w:val="clear" w:color="auto" w:fill="auto"/>
            <w:vAlign w:val="center"/>
          </w:tcPr>
          <w:p w:rsidR="00E2507D" w:rsidRPr="00EA2A0C" w:rsidP="00E2507D">
            <w:pPr>
              <w:rPr>
                <w:highlight w:val="yellow"/>
              </w:rPr>
            </w:pPr>
            <w:r w:rsidRPr="00EA2A0C">
              <w:t>Schools Catering</w:t>
            </w:r>
          </w:p>
        </w:tc>
        <w:tc>
          <w:tcPr>
            <w:tcW w:w="1842" w:type="dxa"/>
            <w:tcBorders>
              <w:top w:val="nil"/>
              <w:left w:val="nil"/>
              <w:bottom w:val="single" w:sz="4" w:space="0" w:color="auto"/>
              <w:right w:val="single" w:sz="4" w:space="0" w:color="auto"/>
            </w:tcBorders>
            <w:shd w:val="clear" w:color="auto" w:fill="auto"/>
            <w:noWrap/>
            <w:vAlign w:val="center"/>
          </w:tcPr>
          <w:p w:rsidR="00E2507D" w:rsidRPr="00EA2A0C" w:rsidP="00256685">
            <w:pPr>
              <w:jc w:val="right"/>
            </w:pPr>
            <w:r w:rsidRPr="00EA2A0C">
              <w:t>0.000</w:t>
            </w:r>
          </w:p>
        </w:tc>
        <w:tc>
          <w:tcPr>
            <w:tcW w:w="1701" w:type="dxa"/>
            <w:tcBorders>
              <w:top w:val="nil"/>
              <w:left w:val="nil"/>
              <w:bottom w:val="single" w:sz="4" w:space="0" w:color="auto"/>
              <w:right w:val="single" w:sz="4" w:space="0" w:color="auto"/>
            </w:tcBorders>
            <w:shd w:val="clear" w:color="auto" w:fill="auto"/>
            <w:noWrap/>
            <w:vAlign w:val="center"/>
          </w:tcPr>
          <w:p w:rsidR="00E2507D" w:rsidRPr="00EA2A0C" w:rsidP="00256685">
            <w:pPr>
              <w:jc w:val="right"/>
            </w:pPr>
            <w:r w:rsidRPr="00EA2A0C">
              <w:t>-0.659</w:t>
            </w:r>
          </w:p>
        </w:tc>
        <w:tc>
          <w:tcPr>
            <w:tcW w:w="1843" w:type="dxa"/>
            <w:tcBorders>
              <w:top w:val="nil"/>
              <w:left w:val="nil"/>
              <w:bottom w:val="single" w:sz="4" w:space="0" w:color="auto"/>
              <w:right w:val="single" w:sz="4" w:space="0" w:color="auto"/>
            </w:tcBorders>
            <w:shd w:val="clear" w:color="auto" w:fill="auto"/>
            <w:noWrap/>
            <w:vAlign w:val="center"/>
          </w:tcPr>
          <w:p w:rsidR="00E2507D" w:rsidRPr="00EA2A0C" w:rsidP="00256685">
            <w:pPr>
              <w:jc w:val="right"/>
            </w:pPr>
            <w:r w:rsidRPr="00EA2A0C">
              <w:t>-0.659</w:t>
            </w:r>
          </w:p>
        </w:tc>
      </w:tr>
      <w:tr w:rsidTr="00E2507D">
        <w:tblPrEx>
          <w:tblW w:w="9214" w:type="dxa"/>
          <w:tblInd w:w="-10" w:type="dxa"/>
          <w:tblLook w:val="04A0"/>
        </w:tblPrEx>
        <w:trPr>
          <w:trHeight w:val="510"/>
        </w:trPr>
        <w:tc>
          <w:tcPr>
            <w:tcW w:w="3828" w:type="dxa"/>
            <w:tcBorders>
              <w:top w:val="nil"/>
              <w:left w:val="single" w:sz="8" w:space="0" w:color="auto"/>
              <w:bottom w:val="single" w:sz="4" w:space="0" w:color="auto"/>
              <w:right w:val="single" w:sz="4" w:space="0" w:color="auto"/>
            </w:tcBorders>
            <w:shd w:val="clear" w:color="auto" w:fill="auto"/>
            <w:vAlign w:val="center"/>
          </w:tcPr>
          <w:p w:rsidR="00E2507D" w:rsidRPr="008D59B0" w:rsidP="00E2507D">
            <w:r w:rsidRPr="008D59B0">
              <w:t>Business Rates Appeals</w:t>
            </w:r>
          </w:p>
        </w:tc>
        <w:tc>
          <w:tcPr>
            <w:tcW w:w="1842" w:type="dxa"/>
            <w:tcBorders>
              <w:top w:val="nil"/>
              <w:left w:val="nil"/>
              <w:bottom w:val="single" w:sz="4" w:space="0" w:color="auto"/>
              <w:right w:val="single" w:sz="4" w:space="0" w:color="auto"/>
            </w:tcBorders>
            <w:shd w:val="clear" w:color="auto" w:fill="auto"/>
            <w:noWrap/>
            <w:vAlign w:val="center"/>
          </w:tcPr>
          <w:p w:rsidR="00E2507D" w:rsidRPr="008D59B0" w:rsidP="00256685">
            <w:pPr>
              <w:jc w:val="right"/>
            </w:pPr>
            <w:r w:rsidRPr="008D59B0">
              <w:t>-5.451</w:t>
            </w:r>
          </w:p>
        </w:tc>
        <w:tc>
          <w:tcPr>
            <w:tcW w:w="1701" w:type="dxa"/>
            <w:tcBorders>
              <w:top w:val="nil"/>
              <w:left w:val="nil"/>
              <w:bottom w:val="single" w:sz="4" w:space="0" w:color="auto"/>
              <w:right w:val="single" w:sz="4" w:space="0" w:color="auto"/>
            </w:tcBorders>
            <w:shd w:val="clear" w:color="auto" w:fill="auto"/>
            <w:noWrap/>
            <w:vAlign w:val="center"/>
          </w:tcPr>
          <w:p w:rsidR="00E2507D" w:rsidRPr="008D59B0" w:rsidP="00256685">
            <w:pPr>
              <w:jc w:val="right"/>
            </w:pPr>
            <w:r w:rsidRPr="008D59B0">
              <w:t>0.000</w:t>
            </w:r>
          </w:p>
        </w:tc>
        <w:tc>
          <w:tcPr>
            <w:tcW w:w="1843" w:type="dxa"/>
            <w:tcBorders>
              <w:top w:val="nil"/>
              <w:left w:val="nil"/>
              <w:bottom w:val="single" w:sz="4" w:space="0" w:color="auto"/>
              <w:right w:val="single" w:sz="4" w:space="0" w:color="auto"/>
            </w:tcBorders>
            <w:shd w:val="clear" w:color="auto" w:fill="auto"/>
            <w:noWrap/>
            <w:vAlign w:val="center"/>
          </w:tcPr>
          <w:p w:rsidR="00E2507D" w:rsidRPr="008D59B0" w:rsidP="00256685">
            <w:pPr>
              <w:jc w:val="right"/>
            </w:pPr>
            <w:r w:rsidRPr="008D59B0">
              <w:t>-5.451</w:t>
            </w:r>
          </w:p>
        </w:tc>
      </w:tr>
      <w:tr w:rsidTr="00E2507D">
        <w:tblPrEx>
          <w:tblW w:w="9214" w:type="dxa"/>
          <w:tblInd w:w="-10" w:type="dxa"/>
          <w:tblLook w:val="04A0"/>
        </w:tblPrEx>
        <w:trPr>
          <w:trHeight w:val="510"/>
        </w:trPr>
        <w:tc>
          <w:tcPr>
            <w:tcW w:w="3828" w:type="dxa"/>
            <w:tcBorders>
              <w:top w:val="nil"/>
              <w:left w:val="single" w:sz="8" w:space="0" w:color="auto"/>
              <w:bottom w:val="single" w:sz="4" w:space="0" w:color="auto"/>
              <w:right w:val="single" w:sz="4" w:space="0" w:color="auto"/>
            </w:tcBorders>
            <w:shd w:val="clear" w:color="auto" w:fill="auto"/>
            <w:vAlign w:val="center"/>
          </w:tcPr>
          <w:p w:rsidR="00E2507D" w:rsidRPr="002C18EB" w:rsidP="00E2507D">
            <w:r w:rsidRPr="002C18EB">
              <w:t>Municipal Mutual Insurance (MMI) Provision</w:t>
            </w:r>
          </w:p>
        </w:tc>
        <w:tc>
          <w:tcPr>
            <w:tcW w:w="1842" w:type="dxa"/>
            <w:tcBorders>
              <w:top w:val="nil"/>
              <w:left w:val="nil"/>
              <w:bottom w:val="single" w:sz="4" w:space="0" w:color="auto"/>
              <w:right w:val="single" w:sz="4" w:space="0" w:color="auto"/>
            </w:tcBorders>
            <w:shd w:val="clear" w:color="auto" w:fill="auto"/>
            <w:noWrap/>
            <w:vAlign w:val="center"/>
          </w:tcPr>
          <w:p w:rsidR="00E2507D" w:rsidRPr="002C18EB" w:rsidP="00256685">
            <w:pPr>
              <w:jc w:val="right"/>
            </w:pPr>
            <w:r w:rsidRPr="002C18EB">
              <w:t>-2.749</w:t>
            </w:r>
          </w:p>
        </w:tc>
        <w:tc>
          <w:tcPr>
            <w:tcW w:w="1701" w:type="dxa"/>
            <w:tcBorders>
              <w:top w:val="nil"/>
              <w:left w:val="nil"/>
              <w:bottom w:val="single" w:sz="4" w:space="0" w:color="auto"/>
              <w:right w:val="single" w:sz="4" w:space="0" w:color="auto"/>
            </w:tcBorders>
            <w:shd w:val="clear" w:color="auto" w:fill="auto"/>
            <w:noWrap/>
            <w:vAlign w:val="center"/>
          </w:tcPr>
          <w:p w:rsidR="00E2507D" w:rsidRPr="002C18EB" w:rsidP="00256685">
            <w:pPr>
              <w:jc w:val="right"/>
            </w:pPr>
            <w:r w:rsidRPr="002C18EB">
              <w:t>0.000</w:t>
            </w:r>
          </w:p>
        </w:tc>
        <w:tc>
          <w:tcPr>
            <w:tcW w:w="1843" w:type="dxa"/>
            <w:tcBorders>
              <w:top w:val="nil"/>
              <w:left w:val="nil"/>
              <w:bottom w:val="single" w:sz="4" w:space="0" w:color="auto"/>
              <w:right w:val="single" w:sz="4" w:space="0" w:color="auto"/>
            </w:tcBorders>
            <w:shd w:val="clear" w:color="auto" w:fill="auto"/>
            <w:noWrap/>
            <w:vAlign w:val="center"/>
          </w:tcPr>
          <w:p w:rsidR="00E2507D" w:rsidRPr="002C18EB" w:rsidP="00256685">
            <w:pPr>
              <w:jc w:val="right"/>
            </w:pPr>
            <w:r w:rsidRPr="002C18EB">
              <w:t>-2.749</w:t>
            </w:r>
          </w:p>
        </w:tc>
      </w:tr>
      <w:tr w:rsidTr="00E2507D">
        <w:tblPrEx>
          <w:tblW w:w="9214" w:type="dxa"/>
          <w:tblInd w:w="-10" w:type="dxa"/>
          <w:tblLook w:val="04A0"/>
        </w:tblPrEx>
        <w:trPr>
          <w:trHeight w:val="510"/>
        </w:trPr>
        <w:tc>
          <w:tcPr>
            <w:tcW w:w="3828" w:type="dxa"/>
            <w:tcBorders>
              <w:top w:val="nil"/>
              <w:left w:val="single" w:sz="8" w:space="0" w:color="auto"/>
              <w:bottom w:val="single" w:sz="4" w:space="0" w:color="auto"/>
              <w:right w:val="single" w:sz="4" w:space="0" w:color="auto"/>
            </w:tcBorders>
            <w:shd w:val="clear" w:color="auto" w:fill="auto"/>
            <w:vAlign w:val="center"/>
          </w:tcPr>
          <w:p w:rsidR="00E2507D" w:rsidRPr="002C18EB" w:rsidP="00E2507D">
            <w:r w:rsidRPr="002C18EB">
              <w:t>Insurance Provision</w:t>
            </w:r>
          </w:p>
        </w:tc>
        <w:tc>
          <w:tcPr>
            <w:tcW w:w="1842" w:type="dxa"/>
            <w:tcBorders>
              <w:top w:val="nil"/>
              <w:left w:val="nil"/>
              <w:bottom w:val="single" w:sz="4" w:space="0" w:color="auto"/>
              <w:right w:val="single" w:sz="4" w:space="0" w:color="auto"/>
            </w:tcBorders>
            <w:shd w:val="clear" w:color="auto" w:fill="auto"/>
            <w:noWrap/>
            <w:vAlign w:val="center"/>
          </w:tcPr>
          <w:p w:rsidR="00E2507D" w:rsidRPr="002C18EB" w:rsidP="00256685">
            <w:pPr>
              <w:jc w:val="right"/>
            </w:pPr>
            <w:r w:rsidRPr="002C18EB">
              <w:t>-14.665</w:t>
            </w:r>
          </w:p>
        </w:tc>
        <w:tc>
          <w:tcPr>
            <w:tcW w:w="1701" w:type="dxa"/>
            <w:tcBorders>
              <w:top w:val="nil"/>
              <w:left w:val="nil"/>
              <w:bottom w:val="single" w:sz="4" w:space="0" w:color="auto"/>
              <w:right w:val="single" w:sz="4" w:space="0" w:color="auto"/>
            </w:tcBorders>
            <w:shd w:val="clear" w:color="auto" w:fill="auto"/>
            <w:noWrap/>
            <w:vAlign w:val="center"/>
          </w:tcPr>
          <w:p w:rsidR="00E2507D" w:rsidRPr="002C18EB" w:rsidP="00256685">
            <w:pPr>
              <w:jc w:val="right"/>
            </w:pPr>
            <w:r>
              <w:t>-6.248</w:t>
            </w:r>
          </w:p>
        </w:tc>
        <w:tc>
          <w:tcPr>
            <w:tcW w:w="1843" w:type="dxa"/>
            <w:tcBorders>
              <w:top w:val="nil"/>
              <w:left w:val="nil"/>
              <w:bottom w:val="single" w:sz="4" w:space="0" w:color="auto"/>
              <w:right w:val="single" w:sz="4" w:space="0" w:color="auto"/>
            </w:tcBorders>
            <w:shd w:val="clear" w:color="auto" w:fill="auto"/>
            <w:noWrap/>
            <w:vAlign w:val="center"/>
          </w:tcPr>
          <w:p w:rsidR="00E2507D" w:rsidRPr="002C18EB" w:rsidP="00256685">
            <w:pPr>
              <w:jc w:val="right"/>
            </w:pPr>
            <w:r>
              <w:t>-20.913</w:t>
            </w:r>
          </w:p>
        </w:tc>
      </w:tr>
      <w:tr w:rsidTr="00E2507D">
        <w:tblPrEx>
          <w:tblW w:w="9214" w:type="dxa"/>
          <w:tblInd w:w="-10" w:type="dxa"/>
          <w:tblLook w:val="04A0"/>
        </w:tblPrEx>
        <w:trPr>
          <w:trHeight w:val="510"/>
        </w:trPr>
        <w:tc>
          <w:tcPr>
            <w:tcW w:w="3828" w:type="dxa"/>
            <w:tcBorders>
              <w:top w:val="nil"/>
              <w:left w:val="single" w:sz="8" w:space="0" w:color="auto"/>
              <w:bottom w:val="single" w:sz="4" w:space="0" w:color="auto"/>
              <w:right w:val="single" w:sz="4" w:space="0" w:color="auto"/>
            </w:tcBorders>
            <w:shd w:val="clear" w:color="auto" w:fill="auto"/>
            <w:vAlign w:val="center"/>
          </w:tcPr>
          <w:p w:rsidR="00E2507D" w:rsidRPr="002C18EB" w:rsidP="00E2507D">
            <w:r w:rsidRPr="002C18EB">
              <w:t>SEND Provision</w:t>
            </w:r>
          </w:p>
        </w:tc>
        <w:tc>
          <w:tcPr>
            <w:tcW w:w="1842" w:type="dxa"/>
            <w:tcBorders>
              <w:top w:val="nil"/>
              <w:left w:val="nil"/>
              <w:bottom w:val="single" w:sz="4" w:space="0" w:color="auto"/>
              <w:right w:val="single" w:sz="4" w:space="0" w:color="auto"/>
            </w:tcBorders>
            <w:shd w:val="clear" w:color="auto" w:fill="auto"/>
            <w:noWrap/>
            <w:vAlign w:val="center"/>
          </w:tcPr>
          <w:p w:rsidR="00E2507D" w:rsidRPr="002C18EB" w:rsidP="00256685">
            <w:pPr>
              <w:jc w:val="right"/>
            </w:pPr>
            <w:r w:rsidRPr="002C18EB">
              <w:t>-0.603</w:t>
            </w:r>
          </w:p>
        </w:tc>
        <w:tc>
          <w:tcPr>
            <w:tcW w:w="1701" w:type="dxa"/>
            <w:tcBorders>
              <w:top w:val="nil"/>
              <w:left w:val="nil"/>
              <w:bottom w:val="single" w:sz="4" w:space="0" w:color="auto"/>
              <w:right w:val="single" w:sz="4" w:space="0" w:color="auto"/>
            </w:tcBorders>
            <w:shd w:val="clear" w:color="auto" w:fill="auto"/>
            <w:noWrap/>
            <w:vAlign w:val="center"/>
          </w:tcPr>
          <w:p w:rsidR="00E2507D" w:rsidRPr="002C18EB" w:rsidP="00256685">
            <w:pPr>
              <w:jc w:val="right"/>
            </w:pPr>
            <w:r>
              <w:t>0.603</w:t>
            </w:r>
          </w:p>
        </w:tc>
        <w:tc>
          <w:tcPr>
            <w:tcW w:w="1843" w:type="dxa"/>
            <w:tcBorders>
              <w:top w:val="nil"/>
              <w:left w:val="nil"/>
              <w:bottom w:val="single" w:sz="4" w:space="0" w:color="auto"/>
              <w:right w:val="single" w:sz="4" w:space="0" w:color="auto"/>
            </w:tcBorders>
            <w:shd w:val="clear" w:color="auto" w:fill="auto"/>
            <w:noWrap/>
            <w:vAlign w:val="center"/>
          </w:tcPr>
          <w:p w:rsidR="00E2507D" w:rsidRPr="002C18EB" w:rsidP="00256685">
            <w:pPr>
              <w:jc w:val="right"/>
            </w:pPr>
            <w:r>
              <w:t>0.000</w:t>
            </w:r>
          </w:p>
        </w:tc>
      </w:tr>
      <w:tr w:rsidTr="00E2507D">
        <w:tblPrEx>
          <w:tblW w:w="9214" w:type="dxa"/>
          <w:tblInd w:w="-10" w:type="dxa"/>
          <w:tblLook w:val="04A0"/>
        </w:tblPrEx>
        <w:trPr>
          <w:trHeight w:val="510"/>
        </w:trPr>
        <w:tc>
          <w:tcPr>
            <w:tcW w:w="3828" w:type="dxa"/>
            <w:tcBorders>
              <w:top w:val="nil"/>
              <w:left w:val="single" w:sz="8" w:space="0" w:color="auto"/>
              <w:bottom w:val="single" w:sz="4" w:space="0" w:color="auto"/>
              <w:right w:val="single" w:sz="4" w:space="0" w:color="auto"/>
            </w:tcBorders>
            <w:shd w:val="clear" w:color="auto" w:fill="auto"/>
            <w:vAlign w:val="center"/>
          </w:tcPr>
          <w:p w:rsidR="00E2507D" w:rsidRPr="002C18EB" w:rsidP="00E2507D">
            <w:r w:rsidRPr="002C18EB">
              <w:t>PFI Payments</w:t>
            </w:r>
          </w:p>
        </w:tc>
        <w:tc>
          <w:tcPr>
            <w:tcW w:w="1842" w:type="dxa"/>
            <w:tcBorders>
              <w:top w:val="nil"/>
              <w:left w:val="nil"/>
              <w:bottom w:val="single" w:sz="4" w:space="0" w:color="auto"/>
              <w:right w:val="single" w:sz="4" w:space="0" w:color="auto"/>
            </w:tcBorders>
            <w:shd w:val="clear" w:color="auto" w:fill="auto"/>
            <w:noWrap/>
            <w:vAlign w:val="center"/>
          </w:tcPr>
          <w:p w:rsidR="00E2507D" w:rsidRPr="002C18EB" w:rsidP="00256685">
            <w:pPr>
              <w:jc w:val="right"/>
            </w:pPr>
            <w:r w:rsidRPr="002C18EB">
              <w:t>-0.600</w:t>
            </w:r>
          </w:p>
        </w:tc>
        <w:tc>
          <w:tcPr>
            <w:tcW w:w="1701" w:type="dxa"/>
            <w:tcBorders>
              <w:top w:val="nil"/>
              <w:left w:val="nil"/>
              <w:bottom w:val="single" w:sz="4" w:space="0" w:color="auto"/>
              <w:right w:val="single" w:sz="4" w:space="0" w:color="auto"/>
            </w:tcBorders>
            <w:shd w:val="clear" w:color="auto" w:fill="auto"/>
            <w:noWrap/>
            <w:vAlign w:val="center"/>
          </w:tcPr>
          <w:p w:rsidR="00E2507D" w:rsidRPr="002C18EB" w:rsidP="00256685">
            <w:pPr>
              <w:jc w:val="right"/>
            </w:pPr>
            <w:r>
              <w:t>-0.500</w:t>
            </w:r>
          </w:p>
        </w:tc>
        <w:tc>
          <w:tcPr>
            <w:tcW w:w="1843" w:type="dxa"/>
            <w:tcBorders>
              <w:top w:val="nil"/>
              <w:left w:val="nil"/>
              <w:bottom w:val="single" w:sz="4" w:space="0" w:color="auto"/>
              <w:right w:val="single" w:sz="4" w:space="0" w:color="auto"/>
            </w:tcBorders>
            <w:shd w:val="clear" w:color="auto" w:fill="auto"/>
            <w:noWrap/>
            <w:vAlign w:val="center"/>
          </w:tcPr>
          <w:p w:rsidR="00E2507D" w:rsidRPr="002C18EB" w:rsidP="00256685">
            <w:pPr>
              <w:jc w:val="right"/>
            </w:pPr>
            <w:r>
              <w:t>-1.1</w:t>
            </w:r>
            <w:r w:rsidRPr="002C18EB">
              <w:t>00</w:t>
            </w:r>
          </w:p>
        </w:tc>
      </w:tr>
      <w:tr w:rsidTr="00E2507D">
        <w:tblPrEx>
          <w:tblW w:w="9214" w:type="dxa"/>
          <w:tblInd w:w="-10" w:type="dxa"/>
          <w:tblLook w:val="04A0"/>
        </w:tblPrEx>
        <w:trPr>
          <w:trHeight w:val="510"/>
        </w:trPr>
        <w:tc>
          <w:tcPr>
            <w:tcW w:w="3828" w:type="dxa"/>
            <w:tcBorders>
              <w:top w:val="nil"/>
              <w:left w:val="single" w:sz="8" w:space="0" w:color="auto"/>
              <w:bottom w:val="single" w:sz="4" w:space="0" w:color="auto"/>
              <w:right w:val="single" w:sz="4" w:space="0" w:color="auto"/>
            </w:tcBorders>
            <w:shd w:val="clear" w:color="auto" w:fill="auto"/>
            <w:vAlign w:val="center"/>
          </w:tcPr>
          <w:p w:rsidR="00E2507D" w:rsidRPr="002C18EB" w:rsidP="00E2507D">
            <w:pPr>
              <w:rPr>
                <w:b/>
              </w:rPr>
            </w:pPr>
            <w:r w:rsidRPr="002C18EB">
              <w:rPr>
                <w:b/>
              </w:rPr>
              <w:t>Grand Total</w:t>
            </w:r>
          </w:p>
        </w:tc>
        <w:tc>
          <w:tcPr>
            <w:tcW w:w="1842" w:type="dxa"/>
            <w:tcBorders>
              <w:top w:val="nil"/>
              <w:left w:val="nil"/>
              <w:bottom w:val="single" w:sz="4" w:space="0" w:color="auto"/>
              <w:right w:val="single" w:sz="4" w:space="0" w:color="auto"/>
            </w:tcBorders>
            <w:shd w:val="clear" w:color="auto" w:fill="auto"/>
            <w:noWrap/>
            <w:vAlign w:val="center"/>
          </w:tcPr>
          <w:p w:rsidR="00E2507D" w:rsidRPr="002C18EB" w:rsidP="00256685">
            <w:pPr>
              <w:jc w:val="right"/>
              <w:rPr>
                <w:b/>
              </w:rPr>
            </w:pPr>
            <w:r>
              <w:rPr>
                <w:b/>
              </w:rPr>
              <w:t>-27.932</w:t>
            </w:r>
          </w:p>
        </w:tc>
        <w:tc>
          <w:tcPr>
            <w:tcW w:w="1701" w:type="dxa"/>
            <w:tcBorders>
              <w:top w:val="nil"/>
              <w:left w:val="nil"/>
              <w:bottom w:val="single" w:sz="4" w:space="0" w:color="auto"/>
              <w:right w:val="single" w:sz="4" w:space="0" w:color="auto"/>
            </w:tcBorders>
            <w:shd w:val="clear" w:color="auto" w:fill="auto"/>
            <w:noWrap/>
            <w:vAlign w:val="center"/>
          </w:tcPr>
          <w:p w:rsidR="00E2507D" w:rsidRPr="002C18EB" w:rsidP="00256685">
            <w:pPr>
              <w:jc w:val="right"/>
              <w:rPr>
                <w:b/>
              </w:rPr>
            </w:pPr>
            <w:r>
              <w:rPr>
                <w:b/>
              </w:rPr>
              <w:t>-5.921</w:t>
            </w:r>
          </w:p>
        </w:tc>
        <w:tc>
          <w:tcPr>
            <w:tcW w:w="1843" w:type="dxa"/>
            <w:tcBorders>
              <w:top w:val="nil"/>
              <w:left w:val="nil"/>
              <w:bottom w:val="single" w:sz="4" w:space="0" w:color="auto"/>
              <w:right w:val="single" w:sz="4" w:space="0" w:color="auto"/>
            </w:tcBorders>
            <w:shd w:val="clear" w:color="auto" w:fill="auto"/>
            <w:noWrap/>
            <w:vAlign w:val="center"/>
          </w:tcPr>
          <w:p w:rsidR="00E2507D" w:rsidRPr="002C18EB" w:rsidP="00256685">
            <w:pPr>
              <w:jc w:val="right"/>
              <w:rPr>
                <w:b/>
              </w:rPr>
            </w:pPr>
            <w:r>
              <w:rPr>
                <w:b/>
              </w:rPr>
              <w:t>-33.853</w:t>
            </w:r>
          </w:p>
        </w:tc>
      </w:tr>
    </w:tbl>
    <w:p w:rsidR="00E2507D" w:rsidRPr="002C18EB" w:rsidP="00E2507D"/>
    <w:p w:rsidR="00E2507D" w:rsidRPr="00506BBC" w:rsidP="00E2507D">
      <w:pPr>
        <w:autoSpaceDE/>
        <w:autoSpaceDN/>
        <w:adjustRightInd/>
        <w:spacing w:after="0"/>
        <w:rPr>
          <w:b/>
          <w:highlight w:val="yellow"/>
        </w:rPr>
      </w:pPr>
      <w:r w:rsidRPr="000E745B">
        <w:t xml:space="preserve">The table above contains both long and short term provisions held at the end of the 2019/20 financial year. </w:t>
      </w:r>
      <w:r w:rsidRPr="00DD0FE8">
        <w:t xml:space="preserve">A review of all provisions has been undertaken with several removed as they are no longer required. In addition, where new provisions are required (such as the Adult Services – General) or increases were needed to existing provisions then the required action has been taken. </w:t>
      </w:r>
      <w:r w:rsidRPr="00506BBC">
        <w:rPr>
          <w:b/>
          <w:highlight w:val="yellow"/>
        </w:rPr>
        <w:br w:type="page"/>
      </w:r>
    </w:p>
    <w:p w:rsidR="00E2507D" w:rsidRPr="000E745B" w:rsidP="00E2507D">
      <w:pPr>
        <w:spacing w:after="0"/>
        <w:rPr>
          <w:b/>
        </w:rPr>
      </w:pPr>
      <w:r w:rsidRPr="000E745B">
        <w:rPr>
          <w:b/>
        </w:rPr>
        <w:t>9.</w:t>
      </w:r>
      <w:r w:rsidRPr="000E745B">
        <w:rPr>
          <w:b/>
        </w:rPr>
        <w:tab/>
        <w:t>Capital Receipts</w:t>
      </w:r>
    </w:p>
    <w:p w:rsidR="00E2507D" w:rsidRPr="00506BBC" w:rsidP="00E2507D">
      <w:pPr>
        <w:spacing w:after="0"/>
        <w:rPr>
          <w:highlight w:val="yellow"/>
        </w:rPr>
      </w:pPr>
    </w:p>
    <w:p w:rsidR="00E2507D" w:rsidRPr="0089731E" w:rsidP="00E2507D">
      <w:pPr>
        <w:tabs>
          <w:tab w:val="left" w:pos="567"/>
          <w:tab w:val="left" w:pos="1134"/>
        </w:tabs>
        <w:autoSpaceDE/>
        <w:autoSpaceDN/>
        <w:adjustRightInd/>
        <w:spacing w:after="0" w:line="276" w:lineRule="auto"/>
        <w:rPr>
          <w:rFonts w:eastAsia="Times New Roman" w:cs="Arial"/>
          <w:color w:val="auto"/>
        </w:rPr>
      </w:pPr>
      <w:r w:rsidRPr="0089731E">
        <w:rPr>
          <w:rFonts w:eastAsia="Times New Roman" w:cs="Arial"/>
          <w:color w:val="auto"/>
        </w:rPr>
        <w:t>From 1</w:t>
      </w:r>
      <w:r w:rsidRPr="0089731E">
        <w:rPr>
          <w:rFonts w:eastAsia="Times New Roman" w:cs="Arial"/>
          <w:color w:val="auto"/>
          <w:vertAlign w:val="superscript"/>
        </w:rPr>
        <w:t>st</w:t>
      </w:r>
      <w:r w:rsidRPr="0089731E">
        <w:rPr>
          <w:rFonts w:eastAsia="Times New Roman" w:cs="Arial"/>
          <w:color w:val="auto"/>
        </w:rPr>
        <w:t xml:space="preserve"> April 2016 the Government introduced the flexibility for capital receipts to be used to fund revenue expenditure which meets certain criteria. To meet the qualifying criteria the revenue expenditure needs to relate to activity which is designed to generate ongoing revenue savings or to transform a service which results in revenue savings or improvements in the quality of provision.</w:t>
      </w:r>
    </w:p>
    <w:p w:rsidR="00E2507D" w:rsidRPr="0089731E" w:rsidP="00E2507D">
      <w:pPr>
        <w:tabs>
          <w:tab w:val="left" w:pos="567"/>
          <w:tab w:val="left" w:pos="1134"/>
        </w:tabs>
        <w:autoSpaceDE/>
        <w:autoSpaceDN/>
        <w:adjustRightInd/>
        <w:spacing w:after="0" w:line="276" w:lineRule="auto"/>
        <w:rPr>
          <w:rFonts w:eastAsia="Times New Roman" w:cs="Arial"/>
          <w:color w:val="auto"/>
        </w:rPr>
      </w:pPr>
    </w:p>
    <w:p w:rsidR="00E2507D" w:rsidRPr="0089731E" w:rsidP="00E2507D">
      <w:pPr>
        <w:tabs>
          <w:tab w:val="left" w:pos="567"/>
          <w:tab w:val="left" w:pos="1134"/>
        </w:tabs>
        <w:autoSpaceDE/>
        <w:autoSpaceDN/>
        <w:adjustRightInd/>
        <w:spacing w:after="0" w:line="276" w:lineRule="auto"/>
        <w:rPr>
          <w:rFonts w:eastAsia="Times New Roman" w:cs="Arial"/>
          <w:color w:val="auto"/>
        </w:rPr>
      </w:pPr>
      <w:r w:rsidRPr="0089731E">
        <w:rPr>
          <w:rFonts w:eastAsia="Times New Roman" w:cs="Arial"/>
          <w:color w:val="auto"/>
        </w:rPr>
        <w:t>As part of the Provisional Settlement in December 2017 it was announced that flexibility to use capital receipts to help meet the revenue costs of transformation programmes will continue for a further three years.</w:t>
      </w:r>
    </w:p>
    <w:p w:rsidR="00E2507D" w:rsidRPr="0089731E" w:rsidP="00E2507D">
      <w:pPr>
        <w:tabs>
          <w:tab w:val="left" w:pos="567"/>
          <w:tab w:val="left" w:pos="1134"/>
        </w:tabs>
        <w:autoSpaceDE/>
        <w:autoSpaceDN/>
        <w:adjustRightInd/>
        <w:spacing w:after="0" w:line="276" w:lineRule="auto"/>
        <w:rPr>
          <w:rFonts w:eastAsia="Times New Roman" w:cs="Arial"/>
          <w:color w:val="auto"/>
        </w:rPr>
      </w:pPr>
    </w:p>
    <w:p w:rsidR="00E2507D" w:rsidRPr="0089731E" w:rsidP="00E2507D">
      <w:pPr>
        <w:tabs>
          <w:tab w:val="left" w:pos="567"/>
          <w:tab w:val="left" w:pos="1134"/>
        </w:tabs>
        <w:autoSpaceDE/>
        <w:autoSpaceDN/>
        <w:adjustRightInd/>
        <w:spacing w:after="0" w:line="276" w:lineRule="auto"/>
        <w:rPr>
          <w:rFonts w:eastAsia="Times New Roman" w:cs="Arial"/>
          <w:color w:val="auto"/>
        </w:rPr>
      </w:pPr>
      <w:r w:rsidRPr="0089731E">
        <w:rPr>
          <w:rFonts w:eastAsia="Times New Roman" w:cs="Arial"/>
          <w:color w:val="auto"/>
        </w:rPr>
        <w:t xml:space="preserve">Local authorities are only able to use capital receipts from the sale of property, plant and equipment received in the years in which this flexibility is offered. They may not use their existing stock of capital receipts to finance the revenue costs of service reform. </w:t>
      </w:r>
    </w:p>
    <w:p w:rsidR="00E2507D" w:rsidRPr="0089731E" w:rsidP="00E2507D">
      <w:pPr>
        <w:tabs>
          <w:tab w:val="left" w:pos="567"/>
          <w:tab w:val="left" w:pos="1134"/>
        </w:tabs>
        <w:autoSpaceDE/>
        <w:autoSpaceDN/>
        <w:adjustRightInd/>
        <w:spacing w:after="0" w:line="276" w:lineRule="auto"/>
        <w:rPr>
          <w:rFonts w:eastAsia="Times New Roman" w:cs="Arial"/>
          <w:color w:val="auto"/>
        </w:rPr>
      </w:pPr>
    </w:p>
    <w:p w:rsidR="00E2507D" w:rsidRPr="0089731E" w:rsidP="00E2507D">
      <w:pPr>
        <w:tabs>
          <w:tab w:val="left" w:pos="567"/>
          <w:tab w:val="left" w:pos="1134"/>
        </w:tabs>
        <w:autoSpaceDE/>
        <w:autoSpaceDN/>
        <w:adjustRightInd/>
        <w:spacing w:after="0" w:line="276" w:lineRule="auto"/>
        <w:rPr>
          <w:rFonts w:eastAsia="Times New Roman" w:cs="Arial"/>
          <w:color w:val="auto"/>
        </w:rPr>
      </w:pPr>
      <w:r w:rsidRPr="0089731E">
        <w:rPr>
          <w:rFonts w:eastAsia="Times New Roman" w:cs="Arial"/>
          <w:color w:val="auto"/>
        </w:rPr>
        <w:t xml:space="preserve">As part of the 2019/20 revenue budget agreed by Full Council a total of £8.000m was built into the budget. </w:t>
      </w:r>
    </w:p>
    <w:p w:rsidR="00E2507D" w:rsidRPr="0089731E" w:rsidP="00E2507D">
      <w:pPr>
        <w:tabs>
          <w:tab w:val="left" w:pos="567"/>
          <w:tab w:val="left" w:pos="1134"/>
        </w:tabs>
        <w:autoSpaceDE/>
        <w:autoSpaceDN/>
        <w:adjustRightInd/>
        <w:spacing w:after="0" w:line="276" w:lineRule="auto"/>
        <w:rPr>
          <w:rFonts w:eastAsia="Times New Roman" w:cs="Arial"/>
          <w:color w:val="auto"/>
        </w:rPr>
      </w:pPr>
    </w:p>
    <w:p w:rsidR="00E2507D" w:rsidRPr="0089731E" w:rsidP="00E2507D">
      <w:pPr>
        <w:tabs>
          <w:tab w:val="left" w:pos="567"/>
          <w:tab w:val="left" w:pos="1134"/>
        </w:tabs>
        <w:autoSpaceDE/>
        <w:autoSpaceDN/>
        <w:adjustRightInd/>
        <w:spacing w:after="0" w:line="276" w:lineRule="auto"/>
        <w:rPr>
          <w:rFonts w:eastAsia="Times New Roman" w:cs="Arial"/>
          <w:color w:val="auto"/>
          <w:highlight w:val="yellow"/>
        </w:rPr>
      </w:pPr>
      <w:r w:rsidRPr="0089731E">
        <w:rPr>
          <w:rFonts w:eastAsia="Times New Roman" w:cs="Arial"/>
          <w:color w:val="auto"/>
        </w:rPr>
        <w:t>The table below shows the amount that was expected to be spent in each service area and how much was spent as part of the 2019/20 outturn</w:t>
      </w:r>
      <w:r w:rsidRPr="00A13D2A">
        <w:rPr>
          <w:rFonts w:eastAsia="Times New Roman" w:cs="Arial"/>
          <w:color w:val="auto"/>
        </w:rPr>
        <w:t>:</w:t>
      </w:r>
    </w:p>
    <w:p w:rsidR="00E2507D" w:rsidRPr="00506BBC" w:rsidP="00E2507D">
      <w:pPr>
        <w:tabs>
          <w:tab w:val="left" w:pos="567"/>
          <w:tab w:val="left" w:pos="1134"/>
        </w:tabs>
        <w:autoSpaceDE/>
        <w:autoSpaceDN/>
        <w:adjustRightInd/>
        <w:spacing w:after="0" w:line="276" w:lineRule="auto"/>
        <w:rPr>
          <w:rFonts w:eastAsia="Times New Roman" w:cs="Arial"/>
          <w:color w:val="auto"/>
          <w:highlight w:val="yellow"/>
        </w:rPr>
      </w:pPr>
    </w:p>
    <w:tbl>
      <w:tblPr>
        <w:tblStyle w:val="TableGrid19"/>
        <w:tblW w:w="0" w:type="auto"/>
        <w:tblLook w:val="04A0"/>
      </w:tblPr>
      <w:tblGrid>
        <w:gridCol w:w="4350"/>
        <w:gridCol w:w="1769"/>
        <w:gridCol w:w="1579"/>
        <w:gridCol w:w="1277"/>
      </w:tblGrid>
      <w:tr w:rsidTr="00E2507D">
        <w:tblPrEx>
          <w:tblW w:w="0" w:type="auto"/>
          <w:tblLook w:val="04A0"/>
        </w:tblPrEx>
        <w:trPr>
          <w:trHeight w:val="283"/>
        </w:trPr>
        <w:tc>
          <w:tcPr>
            <w:tcW w:w="4350" w:type="dxa"/>
            <w:shd w:val="clear" w:color="auto" w:fill="D9D9D9" w:themeFill="background1" w:themeFillShade="D9"/>
            <w:vAlign w:val="center"/>
          </w:tcPr>
          <w:p w:rsidR="00E2507D" w:rsidRPr="00AB33E5" w:rsidP="00E2507D">
            <w:pPr>
              <w:tabs>
                <w:tab w:val="left" w:pos="567"/>
                <w:tab w:val="left" w:pos="1134"/>
              </w:tabs>
              <w:autoSpaceDE/>
              <w:autoSpaceDN/>
              <w:adjustRightInd/>
              <w:spacing w:after="0"/>
              <w:jc w:val="center"/>
              <w:rPr>
                <w:rFonts w:eastAsia="Cambria" w:cs="Arial"/>
                <w:b/>
                <w:color w:val="auto"/>
                <w:sz w:val="22"/>
                <w:szCs w:val="22"/>
                <w:lang w:eastAsia="en-GB"/>
              </w:rPr>
            </w:pPr>
            <w:r w:rsidRPr="00AB33E5">
              <w:rPr>
                <w:rFonts w:eastAsia="Cambria" w:cs="Arial"/>
                <w:b/>
                <w:color w:val="auto"/>
                <w:sz w:val="22"/>
                <w:szCs w:val="22"/>
                <w:lang w:eastAsia="en-GB"/>
              </w:rPr>
              <w:t>Service Area</w:t>
            </w:r>
          </w:p>
        </w:tc>
        <w:tc>
          <w:tcPr>
            <w:tcW w:w="1769" w:type="dxa"/>
            <w:shd w:val="clear" w:color="auto" w:fill="D9D9D9" w:themeFill="background1" w:themeFillShade="D9"/>
            <w:vAlign w:val="center"/>
          </w:tcPr>
          <w:p w:rsidR="00E2507D" w:rsidRPr="00AB33E5" w:rsidP="00E2507D">
            <w:pPr>
              <w:tabs>
                <w:tab w:val="left" w:pos="567"/>
                <w:tab w:val="left" w:pos="1134"/>
              </w:tabs>
              <w:autoSpaceDE/>
              <w:autoSpaceDN/>
              <w:adjustRightInd/>
              <w:spacing w:after="0"/>
              <w:jc w:val="center"/>
              <w:rPr>
                <w:rFonts w:eastAsia="Cambria" w:cs="Arial"/>
                <w:b/>
                <w:color w:val="auto"/>
                <w:sz w:val="22"/>
                <w:szCs w:val="22"/>
                <w:lang w:eastAsia="en-GB"/>
              </w:rPr>
            </w:pPr>
            <w:r w:rsidRPr="00AB33E5">
              <w:rPr>
                <w:rFonts w:eastAsia="Cambria" w:cs="Arial"/>
                <w:b/>
                <w:color w:val="auto"/>
                <w:sz w:val="22"/>
                <w:szCs w:val="22"/>
                <w:lang w:eastAsia="en-GB"/>
              </w:rPr>
              <w:t>2019/20 Budget (£m)</w:t>
            </w:r>
          </w:p>
        </w:tc>
        <w:tc>
          <w:tcPr>
            <w:tcW w:w="1579" w:type="dxa"/>
            <w:shd w:val="clear" w:color="auto" w:fill="D9D9D9" w:themeFill="background1" w:themeFillShade="D9"/>
            <w:vAlign w:val="center"/>
          </w:tcPr>
          <w:p w:rsidR="00E2507D" w:rsidRPr="00AB33E5" w:rsidP="00E2507D">
            <w:pPr>
              <w:tabs>
                <w:tab w:val="left" w:pos="567"/>
                <w:tab w:val="left" w:pos="1134"/>
              </w:tabs>
              <w:autoSpaceDE/>
              <w:autoSpaceDN/>
              <w:adjustRightInd/>
              <w:spacing w:after="0"/>
              <w:jc w:val="center"/>
              <w:rPr>
                <w:rFonts w:eastAsia="Cambria" w:cs="Arial"/>
                <w:b/>
                <w:color w:val="auto"/>
                <w:sz w:val="22"/>
                <w:szCs w:val="22"/>
                <w:lang w:eastAsia="en-GB"/>
              </w:rPr>
            </w:pPr>
            <w:r w:rsidRPr="00AB33E5">
              <w:rPr>
                <w:rFonts w:eastAsia="Cambria" w:cs="Arial"/>
                <w:b/>
                <w:color w:val="auto"/>
                <w:sz w:val="22"/>
                <w:szCs w:val="22"/>
                <w:lang w:eastAsia="en-GB"/>
              </w:rPr>
              <w:t>2019/20 Expenditure (£m)</w:t>
            </w:r>
          </w:p>
        </w:tc>
        <w:tc>
          <w:tcPr>
            <w:tcW w:w="1277" w:type="dxa"/>
            <w:shd w:val="clear" w:color="auto" w:fill="D9D9D9" w:themeFill="background1" w:themeFillShade="D9"/>
            <w:vAlign w:val="center"/>
          </w:tcPr>
          <w:p w:rsidR="00E2507D" w:rsidRPr="00AB33E5" w:rsidP="00E2507D">
            <w:pPr>
              <w:tabs>
                <w:tab w:val="left" w:pos="567"/>
                <w:tab w:val="left" w:pos="1134"/>
              </w:tabs>
              <w:autoSpaceDE/>
              <w:autoSpaceDN/>
              <w:adjustRightInd/>
              <w:spacing w:after="0"/>
              <w:jc w:val="center"/>
              <w:rPr>
                <w:rFonts w:eastAsia="Cambria" w:cs="Arial"/>
                <w:b/>
                <w:color w:val="auto"/>
                <w:sz w:val="22"/>
                <w:szCs w:val="22"/>
                <w:lang w:eastAsia="en-GB"/>
              </w:rPr>
            </w:pPr>
            <w:r w:rsidRPr="00AB33E5">
              <w:rPr>
                <w:rFonts w:eastAsia="Cambria" w:cs="Arial"/>
                <w:b/>
                <w:color w:val="auto"/>
                <w:sz w:val="22"/>
                <w:szCs w:val="22"/>
                <w:lang w:eastAsia="en-GB"/>
              </w:rPr>
              <w:t>2019/20 Variance (£m)</w:t>
            </w:r>
          </w:p>
        </w:tc>
      </w:tr>
      <w:tr w:rsidTr="00E2507D">
        <w:tblPrEx>
          <w:tblW w:w="0" w:type="auto"/>
          <w:tblLook w:val="04A0"/>
        </w:tblPrEx>
        <w:trPr>
          <w:trHeight w:val="283"/>
        </w:trPr>
        <w:tc>
          <w:tcPr>
            <w:tcW w:w="4350" w:type="dxa"/>
          </w:tcPr>
          <w:p w:rsidR="00E2507D" w:rsidRPr="00506BBC" w:rsidP="00E2507D">
            <w:pPr>
              <w:tabs>
                <w:tab w:val="left" w:pos="567"/>
                <w:tab w:val="left" w:pos="1134"/>
              </w:tabs>
              <w:autoSpaceDE/>
              <w:autoSpaceDN/>
              <w:adjustRightInd/>
              <w:spacing w:after="0"/>
              <w:rPr>
                <w:rFonts w:eastAsia="Cambria" w:cs="Arial"/>
                <w:color w:val="auto"/>
                <w:sz w:val="22"/>
                <w:szCs w:val="22"/>
                <w:highlight w:val="yellow"/>
                <w:lang w:eastAsia="en-GB"/>
              </w:rPr>
            </w:pPr>
            <w:r w:rsidRPr="006A4111">
              <w:t>Business Intelligence</w:t>
            </w:r>
          </w:p>
        </w:tc>
        <w:tc>
          <w:tcPr>
            <w:tcW w:w="1769" w:type="dxa"/>
          </w:tcPr>
          <w:p w:rsidR="00E2507D" w:rsidRPr="00506BBC" w:rsidP="00E2507D">
            <w:pPr>
              <w:autoSpaceDE/>
              <w:autoSpaceDN/>
              <w:adjustRightInd/>
              <w:spacing w:after="0"/>
              <w:ind w:right="16"/>
              <w:jc w:val="right"/>
              <w:rPr>
                <w:rFonts w:eastAsia="Cambria" w:cs="Arial"/>
                <w:color w:val="auto"/>
                <w:sz w:val="22"/>
                <w:szCs w:val="22"/>
                <w:highlight w:val="yellow"/>
                <w:lang w:eastAsia="en-GB"/>
              </w:rPr>
            </w:pPr>
            <w:r w:rsidRPr="006A4111">
              <w:t>0.353</w:t>
            </w:r>
          </w:p>
        </w:tc>
        <w:tc>
          <w:tcPr>
            <w:tcW w:w="1579" w:type="dxa"/>
          </w:tcPr>
          <w:p w:rsidR="00E2507D" w:rsidRPr="00506BBC" w:rsidP="00E2507D">
            <w:pPr>
              <w:autoSpaceDE/>
              <w:autoSpaceDN/>
              <w:adjustRightInd/>
              <w:spacing w:after="0"/>
              <w:ind w:right="16"/>
              <w:jc w:val="right"/>
              <w:rPr>
                <w:rFonts w:eastAsia="Cambria" w:cs="Arial"/>
                <w:color w:val="auto"/>
                <w:sz w:val="22"/>
                <w:szCs w:val="22"/>
                <w:highlight w:val="yellow"/>
                <w:lang w:eastAsia="en-GB"/>
              </w:rPr>
            </w:pPr>
            <w:r w:rsidRPr="006A4111">
              <w:t>0.353</w:t>
            </w:r>
          </w:p>
        </w:tc>
        <w:tc>
          <w:tcPr>
            <w:tcW w:w="1277" w:type="dxa"/>
          </w:tcPr>
          <w:p w:rsidR="00E2507D" w:rsidRPr="00506BBC" w:rsidP="00E2507D">
            <w:pPr>
              <w:autoSpaceDE/>
              <w:autoSpaceDN/>
              <w:adjustRightInd/>
              <w:spacing w:after="0"/>
              <w:ind w:right="16"/>
              <w:jc w:val="right"/>
              <w:rPr>
                <w:rFonts w:eastAsia="Cambria" w:cs="Arial"/>
                <w:color w:val="auto"/>
                <w:sz w:val="22"/>
                <w:szCs w:val="22"/>
                <w:highlight w:val="yellow"/>
                <w:lang w:eastAsia="en-GB"/>
              </w:rPr>
            </w:pPr>
            <w:r w:rsidRPr="006A4111">
              <w:t>0.000</w:t>
            </w:r>
          </w:p>
        </w:tc>
      </w:tr>
      <w:tr w:rsidTr="00E2507D">
        <w:tblPrEx>
          <w:tblW w:w="0" w:type="auto"/>
          <w:tblLook w:val="04A0"/>
        </w:tblPrEx>
        <w:trPr>
          <w:trHeight w:val="283"/>
        </w:trPr>
        <w:tc>
          <w:tcPr>
            <w:tcW w:w="4350" w:type="dxa"/>
          </w:tcPr>
          <w:p w:rsidR="00E2507D" w:rsidRPr="00506BBC" w:rsidP="00E2507D">
            <w:pPr>
              <w:tabs>
                <w:tab w:val="left" w:pos="567"/>
                <w:tab w:val="left" w:pos="1134"/>
              </w:tabs>
              <w:autoSpaceDE/>
              <w:autoSpaceDN/>
              <w:adjustRightInd/>
              <w:spacing w:after="0"/>
              <w:jc w:val="left"/>
              <w:rPr>
                <w:rFonts w:eastAsia="Cambria" w:cs="Arial"/>
                <w:color w:val="auto"/>
                <w:sz w:val="22"/>
                <w:szCs w:val="22"/>
                <w:highlight w:val="yellow"/>
                <w:lang w:eastAsia="en-GB"/>
              </w:rPr>
            </w:pPr>
            <w:r w:rsidRPr="006A4111">
              <w:t>Core Business System Transformation</w:t>
            </w:r>
          </w:p>
        </w:tc>
        <w:tc>
          <w:tcPr>
            <w:tcW w:w="1769" w:type="dxa"/>
          </w:tcPr>
          <w:p w:rsidR="00E2507D" w:rsidRPr="00506BBC" w:rsidP="00E2507D">
            <w:pPr>
              <w:autoSpaceDE/>
              <w:autoSpaceDN/>
              <w:adjustRightInd/>
              <w:spacing w:after="0"/>
              <w:ind w:right="16"/>
              <w:jc w:val="right"/>
              <w:rPr>
                <w:rFonts w:eastAsia="Cambria" w:cs="Arial"/>
                <w:color w:val="auto"/>
                <w:sz w:val="22"/>
                <w:szCs w:val="22"/>
                <w:highlight w:val="yellow"/>
                <w:lang w:eastAsia="en-GB"/>
              </w:rPr>
            </w:pPr>
            <w:r w:rsidRPr="006A4111">
              <w:t>0.981</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E2507D" w:rsidRPr="00506BBC" w:rsidP="00E2507D">
            <w:pPr>
              <w:autoSpaceDE/>
              <w:autoSpaceDN/>
              <w:adjustRightInd/>
              <w:spacing w:after="0"/>
              <w:ind w:right="16"/>
              <w:jc w:val="right"/>
              <w:rPr>
                <w:rFonts w:eastAsia="Cambria" w:cs="Arial"/>
                <w:color w:val="auto"/>
                <w:highlight w:val="yellow"/>
                <w:lang w:eastAsia="en-GB"/>
              </w:rPr>
            </w:pPr>
            <w:r w:rsidRPr="006A4111">
              <w:t>0.789</w:t>
            </w:r>
          </w:p>
        </w:tc>
        <w:tc>
          <w:tcPr>
            <w:tcW w:w="1277" w:type="dxa"/>
            <w:tcBorders>
              <w:top w:val="single" w:sz="4" w:space="0" w:color="auto"/>
              <w:left w:val="nil"/>
              <w:bottom w:val="single" w:sz="4" w:space="0" w:color="auto"/>
              <w:right w:val="single" w:sz="4" w:space="0" w:color="auto"/>
            </w:tcBorders>
            <w:shd w:val="clear" w:color="auto" w:fill="auto"/>
          </w:tcPr>
          <w:p w:rsidR="00E2507D" w:rsidRPr="00506BBC" w:rsidP="00E2507D">
            <w:pPr>
              <w:autoSpaceDE/>
              <w:autoSpaceDN/>
              <w:adjustRightInd/>
              <w:spacing w:after="0"/>
              <w:ind w:right="16"/>
              <w:jc w:val="right"/>
              <w:rPr>
                <w:rFonts w:eastAsia="Cambria" w:cs="Arial"/>
                <w:color w:val="auto"/>
                <w:highlight w:val="yellow"/>
                <w:lang w:eastAsia="en-GB"/>
              </w:rPr>
            </w:pPr>
            <w:r w:rsidRPr="006A4111">
              <w:t>-0.192</w:t>
            </w:r>
          </w:p>
        </w:tc>
      </w:tr>
      <w:tr w:rsidTr="00E2507D">
        <w:tblPrEx>
          <w:tblW w:w="0" w:type="auto"/>
          <w:tblLook w:val="04A0"/>
        </w:tblPrEx>
        <w:trPr>
          <w:trHeight w:val="283"/>
        </w:trPr>
        <w:tc>
          <w:tcPr>
            <w:tcW w:w="4350" w:type="dxa"/>
          </w:tcPr>
          <w:p w:rsidR="00E2507D" w:rsidRPr="00506BBC" w:rsidP="00E2507D">
            <w:pPr>
              <w:tabs>
                <w:tab w:val="left" w:pos="567"/>
                <w:tab w:val="left" w:pos="1134"/>
              </w:tabs>
              <w:autoSpaceDE/>
              <w:autoSpaceDN/>
              <w:adjustRightInd/>
              <w:spacing w:after="0"/>
              <w:jc w:val="left"/>
              <w:rPr>
                <w:rFonts w:eastAsia="Cambria" w:cs="Arial"/>
                <w:color w:val="auto"/>
                <w:sz w:val="22"/>
                <w:szCs w:val="22"/>
                <w:highlight w:val="yellow"/>
                <w:lang w:eastAsia="en-GB"/>
              </w:rPr>
            </w:pPr>
            <w:r w:rsidRPr="006A4111">
              <w:t>Customer Access</w:t>
            </w:r>
          </w:p>
        </w:tc>
        <w:tc>
          <w:tcPr>
            <w:tcW w:w="1769" w:type="dxa"/>
          </w:tcPr>
          <w:p w:rsidR="00E2507D" w:rsidRPr="005F3E60" w:rsidP="00E2507D">
            <w:pPr>
              <w:autoSpaceDE/>
              <w:autoSpaceDN/>
              <w:adjustRightInd/>
              <w:spacing w:after="0"/>
              <w:ind w:right="16"/>
              <w:jc w:val="right"/>
              <w:rPr>
                <w:rFonts w:eastAsia="Cambria" w:cs="Arial"/>
                <w:color w:val="auto"/>
                <w:sz w:val="22"/>
                <w:szCs w:val="22"/>
                <w:lang w:eastAsia="en-GB"/>
              </w:rPr>
            </w:pPr>
            <w:r w:rsidRPr="006A4111">
              <w:t>0.120</w:t>
            </w:r>
          </w:p>
        </w:tc>
        <w:tc>
          <w:tcPr>
            <w:tcW w:w="1579" w:type="dxa"/>
            <w:tcBorders>
              <w:top w:val="nil"/>
              <w:left w:val="single" w:sz="4" w:space="0" w:color="auto"/>
              <w:bottom w:val="single" w:sz="4" w:space="0" w:color="auto"/>
              <w:right w:val="single" w:sz="4" w:space="0" w:color="auto"/>
            </w:tcBorders>
            <w:shd w:val="clear" w:color="auto" w:fill="auto"/>
          </w:tcPr>
          <w:p w:rsidR="00E2507D" w:rsidRPr="00506BBC" w:rsidP="00E2507D">
            <w:pPr>
              <w:autoSpaceDE/>
              <w:autoSpaceDN/>
              <w:adjustRightInd/>
              <w:spacing w:after="0"/>
              <w:ind w:right="16"/>
              <w:jc w:val="right"/>
              <w:rPr>
                <w:rFonts w:eastAsia="Cambria" w:cs="Arial"/>
                <w:color w:val="auto"/>
                <w:highlight w:val="yellow"/>
                <w:lang w:eastAsia="en-GB"/>
              </w:rPr>
            </w:pPr>
            <w:r w:rsidRPr="006A4111">
              <w:t>0.120</w:t>
            </w:r>
          </w:p>
        </w:tc>
        <w:tc>
          <w:tcPr>
            <w:tcW w:w="1277" w:type="dxa"/>
            <w:tcBorders>
              <w:top w:val="nil"/>
              <w:left w:val="nil"/>
              <w:bottom w:val="single" w:sz="4" w:space="0" w:color="auto"/>
              <w:right w:val="single" w:sz="4" w:space="0" w:color="auto"/>
            </w:tcBorders>
            <w:shd w:val="clear" w:color="auto" w:fill="auto"/>
          </w:tcPr>
          <w:p w:rsidR="00E2507D" w:rsidRPr="00506BBC" w:rsidP="00E2507D">
            <w:pPr>
              <w:autoSpaceDE/>
              <w:autoSpaceDN/>
              <w:adjustRightInd/>
              <w:spacing w:after="0"/>
              <w:ind w:right="16"/>
              <w:jc w:val="right"/>
              <w:rPr>
                <w:rFonts w:eastAsia="Cambria" w:cs="Arial"/>
                <w:color w:val="auto"/>
                <w:highlight w:val="yellow"/>
                <w:lang w:eastAsia="en-GB"/>
              </w:rPr>
            </w:pPr>
            <w:r w:rsidRPr="006A4111">
              <w:t>0.000</w:t>
            </w:r>
          </w:p>
        </w:tc>
      </w:tr>
      <w:tr w:rsidTr="00E2507D">
        <w:tblPrEx>
          <w:tblW w:w="0" w:type="auto"/>
          <w:tblLook w:val="04A0"/>
        </w:tblPrEx>
        <w:trPr>
          <w:trHeight w:val="283"/>
        </w:trPr>
        <w:tc>
          <w:tcPr>
            <w:tcW w:w="4350" w:type="dxa"/>
            <w:shd w:val="clear" w:color="auto" w:fill="auto"/>
          </w:tcPr>
          <w:p w:rsidR="00E2507D" w:rsidRPr="00506BBC" w:rsidP="00E2507D">
            <w:pPr>
              <w:tabs>
                <w:tab w:val="left" w:pos="567"/>
                <w:tab w:val="left" w:pos="1134"/>
              </w:tabs>
              <w:autoSpaceDE/>
              <w:autoSpaceDN/>
              <w:adjustRightInd/>
              <w:spacing w:after="0"/>
              <w:jc w:val="left"/>
              <w:rPr>
                <w:rFonts w:eastAsia="Cambria" w:cs="Arial"/>
                <w:color w:val="auto"/>
                <w:sz w:val="22"/>
                <w:szCs w:val="22"/>
                <w:highlight w:val="yellow"/>
                <w:lang w:eastAsia="en-GB"/>
              </w:rPr>
            </w:pPr>
            <w:r w:rsidRPr="006A4111">
              <w:t>Disability Services (Adults)</w:t>
            </w:r>
          </w:p>
        </w:tc>
        <w:tc>
          <w:tcPr>
            <w:tcW w:w="1769" w:type="dxa"/>
            <w:shd w:val="clear" w:color="auto" w:fill="auto"/>
          </w:tcPr>
          <w:p w:rsidR="00E2507D" w:rsidRPr="005F3E60" w:rsidP="00E2507D">
            <w:pPr>
              <w:autoSpaceDE/>
              <w:autoSpaceDN/>
              <w:adjustRightInd/>
              <w:spacing w:after="0"/>
              <w:ind w:right="16"/>
              <w:jc w:val="right"/>
              <w:rPr>
                <w:rFonts w:eastAsia="Cambria" w:cs="Arial"/>
                <w:color w:val="auto"/>
                <w:sz w:val="22"/>
                <w:szCs w:val="22"/>
                <w:lang w:eastAsia="en-GB"/>
              </w:rPr>
            </w:pPr>
            <w:r w:rsidRPr="006A4111">
              <w:t>0.110</w:t>
            </w:r>
          </w:p>
        </w:tc>
        <w:tc>
          <w:tcPr>
            <w:tcW w:w="1579" w:type="dxa"/>
            <w:tcBorders>
              <w:top w:val="nil"/>
              <w:left w:val="single" w:sz="4" w:space="0" w:color="auto"/>
              <w:bottom w:val="single" w:sz="4" w:space="0" w:color="auto"/>
              <w:right w:val="single" w:sz="4" w:space="0" w:color="auto"/>
            </w:tcBorders>
            <w:shd w:val="clear" w:color="auto" w:fill="auto"/>
          </w:tcPr>
          <w:p w:rsidR="00E2507D" w:rsidRPr="00506BBC" w:rsidP="00E2507D">
            <w:pPr>
              <w:autoSpaceDE/>
              <w:autoSpaceDN/>
              <w:adjustRightInd/>
              <w:spacing w:after="0"/>
              <w:ind w:right="16"/>
              <w:jc w:val="right"/>
              <w:rPr>
                <w:rFonts w:eastAsia="Cambria" w:cs="Arial"/>
                <w:color w:val="auto"/>
                <w:highlight w:val="yellow"/>
                <w:lang w:eastAsia="en-GB"/>
              </w:rPr>
            </w:pPr>
            <w:r w:rsidRPr="006A4111">
              <w:t>0.110</w:t>
            </w:r>
          </w:p>
        </w:tc>
        <w:tc>
          <w:tcPr>
            <w:tcW w:w="1277" w:type="dxa"/>
            <w:tcBorders>
              <w:top w:val="nil"/>
              <w:left w:val="nil"/>
              <w:bottom w:val="single" w:sz="4" w:space="0" w:color="auto"/>
              <w:right w:val="single" w:sz="4" w:space="0" w:color="auto"/>
            </w:tcBorders>
            <w:shd w:val="clear" w:color="auto" w:fill="auto"/>
          </w:tcPr>
          <w:p w:rsidR="00E2507D" w:rsidRPr="00506BBC" w:rsidP="00E2507D">
            <w:pPr>
              <w:autoSpaceDE/>
              <w:autoSpaceDN/>
              <w:adjustRightInd/>
              <w:spacing w:after="0"/>
              <w:ind w:right="16"/>
              <w:jc w:val="right"/>
              <w:rPr>
                <w:rFonts w:eastAsia="Cambria" w:cs="Arial"/>
                <w:color w:val="auto"/>
                <w:highlight w:val="yellow"/>
                <w:lang w:eastAsia="en-GB"/>
              </w:rPr>
            </w:pPr>
            <w:r w:rsidRPr="006A4111">
              <w:t>0.000</w:t>
            </w:r>
          </w:p>
        </w:tc>
      </w:tr>
      <w:tr w:rsidTr="00E2507D">
        <w:tblPrEx>
          <w:tblW w:w="0" w:type="auto"/>
          <w:tblLook w:val="04A0"/>
        </w:tblPrEx>
        <w:trPr>
          <w:trHeight w:val="283"/>
        </w:trPr>
        <w:tc>
          <w:tcPr>
            <w:tcW w:w="4350" w:type="dxa"/>
          </w:tcPr>
          <w:p w:rsidR="00E2507D" w:rsidRPr="00506BBC" w:rsidP="00E2507D">
            <w:pPr>
              <w:tabs>
                <w:tab w:val="left" w:pos="567"/>
                <w:tab w:val="left" w:pos="1134"/>
              </w:tabs>
              <w:autoSpaceDE/>
              <w:autoSpaceDN/>
              <w:adjustRightInd/>
              <w:spacing w:after="0"/>
              <w:jc w:val="left"/>
              <w:rPr>
                <w:rFonts w:eastAsia="Cambria" w:cs="Arial"/>
                <w:color w:val="auto"/>
                <w:sz w:val="22"/>
                <w:szCs w:val="22"/>
                <w:highlight w:val="yellow"/>
                <w:lang w:eastAsia="en-GB"/>
              </w:rPr>
            </w:pPr>
            <w:r w:rsidRPr="006A4111">
              <w:t>Exchequer Services</w:t>
            </w:r>
          </w:p>
        </w:tc>
        <w:tc>
          <w:tcPr>
            <w:tcW w:w="1769" w:type="dxa"/>
          </w:tcPr>
          <w:p w:rsidR="00E2507D" w:rsidRPr="005F3E60" w:rsidP="00E2507D">
            <w:pPr>
              <w:autoSpaceDE/>
              <w:autoSpaceDN/>
              <w:adjustRightInd/>
              <w:spacing w:after="0"/>
              <w:ind w:right="16"/>
              <w:jc w:val="right"/>
              <w:rPr>
                <w:rFonts w:eastAsia="Cambria" w:cs="Arial"/>
                <w:color w:val="auto"/>
                <w:sz w:val="22"/>
                <w:szCs w:val="22"/>
                <w:lang w:eastAsia="en-GB"/>
              </w:rPr>
            </w:pPr>
            <w:r w:rsidRPr="006A4111">
              <w:t>0.349</w:t>
            </w:r>
          </w:p>
        </w:tc>
        <w:tc>
          <w:tcPr>
            <w:tcW w:w="1579" w:type="dxa"/>
            <w:tcBorders>
              <w:top w:val="nil"/>
              <w:left w:val="single" w:sz="4" w:space="0" w:color="auto"/>
              <w:bottom w:val="single" w:sz="4" w:space="0" w:color="auto"/>
              <w:right w:val="single" w:sz="4" w:space="0" w:color="auto"/>
            </w:tcBorders>
            <w:shd w:val="clear" w:color="auto" w:fill="auto"/>
          </w:tcPr>
          <w:p w:rsidR="00E2507D" w:rsidRPr="00506BBC" w:rsidP="00E2507D">
            <w:pPr>
              <w:autoSpaceDE/>
              <w:autoSpaceDN/>
              <w:adjustRightInd/>
              <w:spacing w:after="0"/>
              <w:ind w:right="16"/>
              <w:jc w:val="right"/>
              <w:rPr>
                <w:rFonts w:eastAsia="Cambria" w:cs="Arial"/>
                <w:color w:val="auto"/>
                <w:highlight w:val="yellow"/>
                <w:lang w:eastAsia="en-GB"/>
              </w:rPr>
            </w:pPr>
            <w:r w:rsidRPr="006A4111">
              <w:t>0.349</w:t>
            </w:r>
          </w:p>
        </w:tc>
        <w:tc>
          <w:tcPr>
            <w:tcW w:w="1277" w:type="dxa"/>
            <w:tcBorders>
              <w:top w:val="nil"/>
              <w:left w:val="nil"/>
              <w:bottom w:val="single" w:sz="4" w:space="0" w:color="auto"/>
              <w:right w:val="single" w:sz="4" w:space="0" w:color="auto"/>
            </w:tcBorders>
            <w:shd w:val="clear" w:color="auto" w:fill="auto"/>
          </w:tcPr>
          <w:p w:rsidR="00E2507D" w:rsidRPr="00506BBC" w:rsidP="00E2507D">
            <w:pPr>
              <w:autoSpaceDE/>
              <w:autoSpaceDN/>
              <w:adjustRightInd/>
              <w:spacing w:after="0"/>
              <w:ind w:right="16"/>
              <w:jc w:val="right"/>
              <w:rPr>
                <w:rFonts w:eastAsia="Cambria" w:cs="Arial"/>
                <w:color w:val="auto"/>
                <w:highlight w:val="yellow"/>
                <w:lang w:eastAsia="en-GB"/>
              </w:rPr>
            </w:pPr>
            <w:r w:rsidRPr="006A4111">
              <w:t>0.000</w:t>
            </w:r>
          </w:p>
        </w:tc>
      </w:tr>
      <w:tr w:rsidTr="00E2507D">
        <w:tblPrEx>
          <w:tblW w:w="0" w:type="auto"/>
          <w:tblLook w:val="04A0"/>
        </w:tblPrEx>
        <w:trPr>
          <w:trHeight w:val="283"/>
        </w:trPr>
        <w:tc>
          <w:tcPr>
            <w:tcW w:w="4350" w:type="dxa"/>
          </w:tcPr>
          <w:p w:rsidR="00E2507D" w:rsidRPr="00506BBC" w:rsidP="00E2507D">
            <w:pPr>
              <w:tabs>
                <w:tab w:val="left" w:pos="567"/>
                <w:tab w:val="left" w:pos="1134"/>
              </w:tabs>
              <w:autoSpaceDE/>
              <w:autoSpaceDN/>
              <w:adjustRightInd/>
              <w:spacing w:after="0"/>
              <w:jc w:val="left"/>
              <w:rPr>
                <w:rFonts w:eastAsia="Cambria" w:cs="Arial"/>
                <w:color w:val="auto"/>
                <w:sz w:val="22"/>
                <w:szCs w:val="22"/>
                <w:highlight w:val="yellow"/>
                <w:lang w:eastAsia="en-GB"/>
              </w:rPr>
            </w:pPr>
            <w:r w:rsidRPr="006A4111">
              <w:t>Financial Management (Development and Schools)</w:t>
            </w:r>
          </w:p>
        </w:tc>
        <w:tc>
          <w:tcPr>
            <w:tcW w:w="1769" w:type="dxa"/>
          </w:tcPr>
          <w:p w:rsidR="00E2507D" w:rsidRPr="005F3E60" w:rsidP="00E2507D">
            <w:pPr>
              <w:autoSpaceDE/>
              <w:autoSpaceDN/>
              <w:adjustRightInd/>
              <w:spacing w:after="0"/>
              <w:ind w:right="16"/>
              <w:jc w:val="right"/>
              <w:rPr>
                <w:rFonts w:eastAsia="Cambria" w:cs="Arial"/>
                <w:color w:val="auto"/>
                <w:sz w:val="22"/>
                <w:szCs w:val="22"/>
                <w:lang w:eastAsia="en-GB"/>
              </w:rPr>
            </w:pPr>
            <w:r w:rsidRPr="006A4111">
              <w:t>0.082</w:t>
            </w:r>
          </w:p>
        </w:tc>
        <w:tc>
          <w:tcPr>
            <w:tcW w:w="1579" w:type="dxa"/>
            <w:tcBorders>
              <w:top w:val="nil"/>
              <w:left w:val="single" w:sz="4" w:space="0" w:color="auto"/>
              <w:bottom w:val="single" w:sz="4" w:space="0" w:color="auto"/>
              <w:right w:val="single" w:sz="4" w:space="0" w:color="auto"/>
            </w:tcBorders>
            <w:shd w:val="clear" w:color="auto" w:fill="auto"/>
          </w:tcPr>
          <w:p w:rsidR="00E2507D" w:rsidRPr="00506BBC" w:rsidP="00E2507D">
            <w:pPr>
              <w:autoSpaceDE/>
              <w:autoSpaceDN/>
              <w:adjustRightInd/>
              <w:spacing w:after="0"/>
              <w:ind w:right="16"/>
              <w:jc w:val="right"/>
              <w:rPr>
                <w:rFonts w:eastAsia="Cambria" w:cs="Arial"/>
                <w:color w:val="auto"/>
                <w:highlight w:val="yellow"/>
                <w:lang w:eastAsia="en-GB"/>
              </w:rPr>
            </w:pPr>
            <w:r w:rsidRPr="006A4111">
              <w:t>0.082</w:t>
            </w:r>
          </w:p>
        </w:tc>
        <w:tc>
          <w:tcPr>
            <w:tcW w:w="1277" w:type="dxa"/>
            <w:tcBorders>
              <w:top w:val="nil"/>
              <w:left w:val="nil"/>
              <w:bottom w:val="single" w:sz="4" w:space="0" w:color="auto"/>
              <w:right w:val="single" w:sz="4" w:space="0" w:color="auto"/>
            </w:tcBorders>
            <w:shd w:val="clear" w:color="auto" w:fill="auto"/>
          </w:tcPr>
          <w:p w:rsidR="00E2507D" w:rsidRPr="00506BBC" w:rsidP="00E2507D">
            <w:pPr>
              <w:autoSpaceDE/>
              <w:autoSpaceDN/>
              <w:adjustRightInd/>
              <w:spacing w:after="0"/>
              <w:ind w:right="16"/>
              <w:jc w:val="right"/>
              <w:rPr>
                <w:rFonts w:eastAsia="Cambria" w:cs="Arial"/>
                <w:color w:val="auto"/>
                <w:highlight w:val="yellow"/>
                <w:lang w:eastAsia="en-GB"/>
              </w:rPr>
            </w:pPr>
            <w:r w:rsidRPr="006A4111">
              <w:t>0.000</w:t>
            </w:r>
          </w:p>
        </w:tc>
      </w:tr>
      <w:tr w:rsidTr="00E2507D">
        <w:tblPrEx>
          <w:tblW w:w="0" w:type="auto"/>
          <w:tblLook w:val="04A0"/>
        </w:tblPrEx>
        <w:trPr>
          <w:trHeight w:val="283"/>
        </w:trPr>
        <w:tc>
          <w:tcPr>
            <w:tcW w:w="4350" w:type="dxa"/>
          </w:tcPr>
          <w:p w:rsidR="00E2507D" w:rsidRPr="00506BBC" w:rsidP="00E2507D">
            <w:pPr>
              <w:tabs>
                <w:tab w:val="left" w:pos="567"/>
                <w:tab w:val="left" w:pos="1134"/>
              </w:tabs>
              <w:autoSpaceDE/>
              <w:autoSpaceDN/>
              <w:adjustRightInd/>
              <w:spacing w:after="0"/>
              <w:jc w:val="left"/>
              <w:rPr>
                <w:rFonts w:eastAsia="Cambria" w:cs="Arial"/>
                <w:color w:val="auto"/>
                <w:sz w:val="22"/>
                <w:szCs w:val="22"/>
                <w:highlight w:val="yellow"/>
                <w:lang w:eastAsia="en-GB"/>
              </w:rPr>
            </w:pPr>
            <w:r w:rsidRPr="006A4111">
              <w:t>Financial Management (Operational)</w:t>
            </w:r>
          </w:p>
        </w:tc>
        <w:tc>
          <w:tcPr>
            <w:tcW w:w="1769" w:type="dxa"/>
          </w:tcPr>
          <w:p w:rsidR="00E2507D" w:rsidRPr="005F3E60" w:rsidP="00E2507D">
            <w:pPr>
              <w:autoSpaceDE/>
              <w:autoSpaceDN/>
              <w:adjustRightInd/>
              <w:spacing w:after="0"/>
              <w:ind w:right="16"/>
              <w:jc w:val="right"/>
              <w:rPr>
                <w:rFonts w:eastAsia="Cambria" w:cs="Arial"/>
                <w:color w:val="auto"/>
                <w:sz w:val="22"/>
                <w:szCs w:val="22"/>
                <w:lang w:eastAsia="en-GB"/>
              </w:rPr>
            </w:pPr>
            <w:r w:rsidRPr="006A4111">
              <w:t>0.425</w:t>
            </w:r>
          </w:p>
        </w:tc>
        <w:tc>
          <w:tcPr>
            <w:tcW w:w="1579" w:type="dxa"/>
            <w:tcBorders>
              <w:top w:val="nil"/>
              <w:left w:val="single" w:sz="4" w:space="0" w:color="auto"/>
              <w:bottom w:val="single" w:sz="4" w:space="0" w:color="auto"/>
              <w:right w:val="single" w:sz="4" w:space="0" w:color="auto"/>
            </w:tcBorders>
            <w:shd w:val="clear" w:color="auto" w:fill="auto"/>
          </w:tcPr>
          <w:p w:rsidR="00E2507D" w:rsidRPr="00506BBC" w:rsidP="00E2507D">
            <w:pPr>
              <w:autoSpaceDE/>
              <w:autoSpaceDN/>
              <w:adjustRightInd/>
              <w:spacing w:after="0"/>
              <w:ind w:right="16"/>
              <w:jc w:val="right"/>
              <w:rPr>
                <w:rFonts w:eastAsia="Cambria" w:cs="Arial"/>
                <w:color w:val="auto"/>
                <w:highlight w:val="yellow"/>
                <w:lang w:eastAsia="en-GB"/>
              </w:rPr>
            </w:pPr>
            <w:r w:rsidRPr="006A4111">
              <w:t>0.342</w:t>
            </w:r>
          </w:p>
        </w:tc>
        <w:tc>
          <w:tcPr>
            <w:tcW w:w="1277" w:type="dxa"/>
            <w:tcBorders>
              <w:top w:val="nil"/>
              <w:left w:val="nil"/>
              <w:bottom w:val="single" w:sz="4" w:space="0" w:color="auto"/>
              <w:right w:val="single" w:sz="4" w:space="0" w:color="auto"/>
            </w:tcBorders>
            <w:shd w:val="clear" w:color="auto" w:fill="auto"/>
          </w:tcPr>
          <w:p w:rsidR="00E2507D" w:rsidRPr="00506BBC" w:rsidP="00E2507D">
            <w:pPr>
              <w:autoSpaceDE/>
              <w:autoSpaceDN/>
              <w:adjustRightInd/>
              <w:spacing w:after="0"/>
              <w:ind w:right="16"/>
              <w:jc w:val="right"/>
              <w:rPr>
                <w:rFonts w:eastAsia="Cambria" w:cs="Arial"/>
                <w:color w:val="auto"/>
                <w:highlight w:val="yellow"/>
                <w:lang w:eastAsia="en-GB"/>
              </w:rPr>
            </w:pPr>
            <w:r w:rsidRPr="006A4111">
              <w:t>-0.083</w:t>
            </w:r>
          </w:p>
        </w:tc>
      </w:tr>
      <w:tr w:rsidTr="00E2507D">
        <w:tblPrEx>
          <w:tblW w:w="0" w:type="auto"/>
          <w:tblLook w:val="04A0"/>
        </w:tblPrEx>
        <w:trPr>
          <w:trHeight w:val="283"/>
        </w:trPr>
        <w:tc>
          <w:tcPr>
            <w:tcW w:w="4350" w:type="dxa"/>
          </w:tcPr>
          <w:p w:rsidR="00E2507D" w:rsidRPr="00506BBC" w:rsidP="00E2507D">
            <w:pPr>
              <w:tabs>
                <w:tab w:val="left" w:pos="567"/>
                <w:tab w:val="left" w:pos="1134"/>
              </w:tabs>
              <w:autoSpaceDE/>
              <w:autoSpaceDN/>
              <w:adjustRightInd/>
              <w:spacing w:after="0"/>
              <w:jc w:val="left"/>
              <w:rPr>
                <w:rFonts w:eastAsia="Cambria" w:cs="Arial"/>
                <w:color w:val="auto"/>
                <w:sz w:val="22"/>
                <w:szCs w:val="22"/>
                <w:highlight w:val="yellow"/>
                <w:lang w:eastAsia="en-GB"/>
              </w:rPr>
            </w:pPr>
            <w:r w:rsidRPr="006A4111">
              <w:t>Fostering, Adoption, Residential and YOT</w:t>
            </w:r>
          </w:p>
        </w:tc>
        <w:tc>
          <w:tcPr>
            <w:tcW w:w="1769" w:type="dxa"/>
          </w:tcPr>
          <w:p w:rsidR="00E2507D" w:rsidRPr="005F3E60" w:rsidP="00E2507D">
            <w:pPr>
              <w:autoSpaceDE/>
              <w:autoSpaceDN/>
              <w:adjustRightInd/>
              <w:spacing w:after="0"/>
              <w:ind w:right="16"/>
              <w:jc w:val="right"/>
              <w:rPr>
                <w:rFonts w:eastAsia="Cambria" w:cs="Arial"/>
                <w:color w:val="auto"/>
                <w:sz w:val="22"/>
                <w:szCs w:val="22"/>
                <w:lang w:eastAsia="en-GB"/>
              </w:rPr>
            </w:pPr>
            <w:r w:rsidRPr="006A4111">
              <w:t>0.124</w:t>
            </w:r>
          </w:p>
        </w:tc>
        <w:tc>
          <w:tcPr>
            <w:tcW w:w="1579" w:type="dxa"/>
            <w:tcBorders>
              <w:top w:val="nil"/>
              <w:left w:val="single" w:sz="4" w:space="0" w:color="auto"/>
              <w:bottom w:val="single" w:sz="4" w:space="0" w:color="auto"/>
              <w:right w:val="single" w:sz="4" w:space="0" w:color="auto"/>
            </w:tcBorders>
            <w:shd w:val="clear" w:color="auto" w:fill="auto"/>
          </w:tcPr>
          <w:p w:rsidR="00E2507D" w:rsidRPr="00506BBC" w:rsidP="00E2507D">
            <w:pPr>
              <w:autoSpaceDE/>
              <w:autoSpaceDN/>
              <w:adjustRightInd/>
              <w:spacing w:after="0"/>
              <w:ind w:right="16"/>
              <w:jc w:val="right"/>
              <w:rPr>
                <w:rFonts w:eastAsia="Cambria" w:cs="Arial"/>
                <w:color w:val="auto"/>
                <w:highlight w:val="yellow"/>
                <w:lang w:eastAsia="en-GB"/>
              </w:rPr>
            </w:pPr>
            <w:r w:rsidRPr="006A4111">
              <w:t>0.124</w:t>
            </w:r>
          </w:p>
        </w:tc>
        <w:tc>
          <w:tcPr>
            <w:tcW w:w="1277" w:type="dxa"/>
            <w:tcBorders>
              <w:top w:val="nil"/>
              <w:left w:val="nil"/>
              <w:bottom w:val="single" w:sz="4" w:space="0" w:color="auto"/>
              <w:right w:val="single" w:sz="4" w:space="0" w:color="auto"/>
            </w:tcBorders>
            <w:shd w:val="clear" w:color="auto" w:fill="auto"/>
          </w:tcPr>
          <w:p w:rsidR="00E2507D" w:rsidRPr="00506BBC" w:rsidP="00E2507D">
            <w:pPr>
              <w:autoSpaceDE/>
              <w:autoSpaceDN/>
              <w:adjustRightInd/>
              <w:spacing w:after="0"/>
              <w:ind w:right="16"/>
              <w:jc w:val="right"/>
              <w:rPr>
                <w:rFonts w:eastAsia="Cambria" w:cs="Arial"/>
                <w:color w:val="auto"/>
                <w:highlight w:val="yellow"/>
                <w:lang w:eastAsia="en-GB"/>
              </w:rPr>
            </w:pPr>
            <w:r w:rsidRPr="006A4111">
              <w:t>0.000</w:t>
            </w:r>
          </w:p>
        </w:tc>
      </w:tr>
      <w:tr w:rsidTr="00E2507D">
        <w:tblPrEx>
          <w:tblW w:w="0" w:type="auto"/>
          <w:tblLook w:val="04A0"/>
        </w:tblPrEx>
        <w:trPr>
          <w:trHeight w:val="283"/>
        </w:trPr>
        <w:tc>
          <w:tcPr>
            <w:tcW w:w="4350" w:type="dxa"/>
          </w:tcPr>
          <w:p w:rsidR="00E2507D" w:rsidRPr="00506BBC" w:rsidP="00E2507D">
            <w:pPr>
              <w:tabs>
                <w:tab w:val="left" w:pos="567"/>
                <w:tab w:val="left" w:pos="1134"/>
              </w:tabs>
              <w:autoSpaceDE/>
              <w:autoSpaceDN/>
              <w:adjustRightInd/>
              <w:spacing w:after="0"/>
              <w:jc w:val="left"/>
              <w:rPr>
                <w:rFonts w:eastAsia="Cambria" w:cs="Arial"/>
                <w:color w:val="auto"/>
                <w:sz w:val="22"/>
                <w:szCs w:val="22"/>
                <w:highlight w:val="yellow"/>
                <w:lang w:eastAsia="en-GB"/>
              </w:rPr>
            </w:pPr>
            <w:r w:rsidRPr="006A4111">
              <w:t>Health, Equity and Welfare Partnerships</w:t>
            </w:r>
          </w:p>
        </w:tc>
        <w:tc>
          <w:tcPr>
            <w:tcW w:w="1769" w:type="dxa"/>
          </w:tcPr>
          <w:p w:rsidR="00E2507D" w:rsidRPr="005F3E60" w:rsidP="00E2507D">
            <w:pPr>
              <w:autoSpaceDE/>
              <w:autoSpaceDN/>
              <w:adjustRightInd/>
              <w:spacing w:after="0"/>
              <w:ind w:right="16"/>
              <w:jc w:val="right"/>
              <w:rPr>
                <w:rFonts w:eastAsia="Cambria" w:cs="Arial"/>
                <w:color w:val="auto"/>
                <w:sz w:val="22"/>
                <w:szCs w:val="22"/>
                <w:lang w:eastAsia="en-GB"/>
              </w:rPr>
            </w:pPr>
            <w:r w:rsidRPr="006A4111">
              <w:t>0.500</w:t>
            </w:r>
          </w:p>
        </w:tc>
        <w:tc>
          <w:tcPr>
            <w:tcW w:w="1579" w:type="dxa"/>
            <w:tcBorders>
              <w:top w:val="nil"/>
              <w:left w:val="single" w:sz="4" w:space="0" w:color="auto"/>
              <w:bottom w:val="single" w:sz="4" w:space="0" w:color="auto"/>
              <w:right w:val="single" w:sz="4" w:space="0" w:color="auto"/>
            </w:tcBorders>
            <w:shd w:val="clear" w:color="auto" w:fill="auto"/>
          </w:tcPr>
          <w:p w:rsidR="00E2507D" w:rsidRPr="00506BBC" w:rsidP="00E2507D">
            <w:pPr>
              <w:autoSpaceDE/>
              <w:autoSpaceDN/>
              <w:adjustRightInd/>
              <w:spacing w:after="0"/>
              <w:ind w:right="16"/>
              <w:jc w:val="right"/>
              <w:rPr>
                <w:rFonts w:eastAsia="Cambria" w:cs="Arial"/>
                <w:color w:val="auto"/>
                <w:highlight w:val="yellow"/>
                <w:lang w:eastAsia="en-GB"/>
              </w:rPr>
            </w:pPr>
            <w:r w:rsidRPr="006A4111">
              <w:t>0.500</w:t>
            </w:r>
          </w:p>
        </w:tc>
        <w:tc>
          <w:tcPr>
            <w:tcW w:w="1277" w:type="dxa"/>
            <w:tcBorders>
              <w:top w:val="nil"/>
              <w:left w:val="nil"/>
              <w:bottom w:val="single" w:sz="4" w:space="0" w:color="auto"/>
              <w:right w:val="single" w:sz="4" w:space="0" w:color="auto"/>
            </w:tcBorders>
            <w:shd w:val="clear" w:color="auto" w:fill="auto"/>
          </w:tcPr>
          <w:p w:rsidR="00E2507D" w:rsidRPr="00506BBC" w:rsidP="00E2507D">
            <w:pPr>
              <w:autoSpaceDE/>
              <w:autoSpaceDN/>
              <w:adjustRightInd/>
              <w:spacing w:after="0"/>
              <w:ind w:right="16"/>
              <w:jc w:val="right"/>
              <w:rPr>
                <w:rFonts w:eastAsia="Cambria" w:cs="Arial"/>
                <w:color w:val="auto"/>
                <w:highlight w:val="yellow"/>
                <w:lang w:eastAsia="en-GB"/>
              </w:rPr>
            </w:pPr>
            <w:r w:rsidRPr="006A4111">
              <w:t>0.000</w:t>
            </w:r>
          </w:p>
        </w:tc>
      </w:tr>
      <w:tr w:rsidTr="00E2507D">
        <w:tblPrEx>
          <w:tblW w:w="0" w:type="auto"/>
          <w:tblLook w:val="04A0"/>
        </w:tblPrEx>
        <w:trPr>
          <w:trHeight w:val="283"/>
        </w:trPr>
        <w:tc>
          <w:tcPr>
            <w:tcW w:w="4350" w:type="dxa"/>
          </w:tcPr>
          <w:p w:rsidR="00E2507D" w:rsidRPr="00506BBC" w:rsidP="00E2507D">
            <w:pPr>
              <w:tabs>
                <w:tab w:val="left" w:pos="567"/>
                <w:tab w:val="left" w:pos="1134"/>
              </w:tabs>
              <w:autoSpaceDE/>
              <w:autoSpaceDN/>
              <w:adjustRightInd/>
              <w:spacing w:after="0"/>
              <w:jc w:val="left"/>
              <w:rPr>
                <w:rFonts w:eastAsia="Cambria" w:cs="Arial"/>
                <w:color w:val="auto"/>
                <w:sz w:val="22"/>
                <w:szCs w:val="22"/>
                <w:highlight w:val="yellow"/>
                <w:lang w:eastAsia="en-GB"/>
              </w:rPr>
            </w:pPr>
            <w:r w:rsidRPr="006A4111">
              <w:t>Highways</w:t>
            </w:r>
          </w:p>
        </w:tc>
        <w:tc>
          <w:tcPr>
            <w:tcW w:w="1769" w:type="dxa"/>
          </w:tcPr>
          <w:p w:rsidR="00E2507D" w:rsidRPr="00174F8F" w:rsidP="00E2507D">
            <w:pPr>
              <w:autoSpaceDE/>
              <w:autoSpaceDN/>
              <w:adjustRightInd/>
              <w:spacing w:after="0"/>
              <w:ind w:right="16"/>
              <w:jc w:val="right"/>
              <w:rPr>
                <w:rFonts w:eastAsia="Cambria" w:cs="Arial"/>
                <w:color w:val="auto"/>
                <w:sz w:val="22"/>
                <w:szCs w:val="22"/>
                <w:lang w:eastAsia="en-GB"/>
              </w:rPr>
            </w:pPr>
            <w:r w:rsidRPr="006A4111">
              <w:t>0.114</w:t>
            </w:r>
          </w:p>
        </w:tc>
        <w:tc>
          <w:tcPr>
            <w:tcW w:w="1579" w:type="dxa"/>
            <w:tcBorders>
              <w:top w:val="nil"/>
              <w:left w:val="single" w:sz="4" w:space="0" w:color="auto"/>
              <w:bottom w:val="single" w:sz="4" w:space="0" w:color="auto"/>
              <w:right w:val="single" w:sz="4" w:space="0" w:color="auto"/>
            </w:tcBorders>
            <w:shd w:val="clear" w:color="auto" w:fill="auto"/>
          </w:tcPr>
          <w:p w:rsidR="00E2507D" w:rsidRPr="00506BBC" w:rsidP="00E2507D">
            <w:pPr>
              <w:autoSpaceDE/>
              <w:autoSpaceDN/>
              <w:adjustRightInd/>
              <w:spacing w:after="0"/>
              <w:ind w:right="16"/>
              <w:jc w:val="right"/>
              <w:rPr>
                <w:rFonts w:eastAsia="Cambria" w:cs="Arial"/>
                <w:color w:val="auto"/>
                <w:highlight w:val="yellow"/>
                <w:lang w:eastAsia="en-GB"/>
              </w:rPr>
            </w:pPr>
            <w:r w:rsidRPr="006A4111">
              <w:t>0.114</w:t>
            </w:r>
          </w:p>
        </w:tc>
        <w:tc>
          <w:tcPr>
            <w:tcW w:w="1277" w:type="dxa"/>
            <w:tcBorders>
              <w:top w:val="nil"/>
              <w:left w:val="nil"/>
              <w:bottom w:val="single" w:sz="4" w:space="0" w:color="auto"/>
              <w:right w:val="single" w:sz="4" w:space="0" w:color="auto"/>
            </w:tcBorders>
            <w:shd w:val="clear" w:color="auto" w:fill="auto"/>
          </w:tcPr>
          <w:p w:rsidR="00E2507D" w:rsidRPr="00506BBC" w:rsidP="00E2507D">
            <w:pPr>
              <w:autoSpaceDE/>
              <w:autoSpaceDN/>
              <w:adjustRightInd/>
              <w:spacing w:after="0"/>
              <w:ind w:right="16"/>
              <w:jc w:val="right"/>
              <w:rPr>
                <w:rFonts w:eastAsia="Cambria" w:cs="Arial"/>
                <w:color w:val="auto"/>
                <w:highlight w:val="yellow"/>
                <w:lang w:eastAsia="en-GB"/>
              </w:rPr>
            </w:pPr>
            <w:r w:rsidRPr="006A4111">
              <w:t>0.000</w:t>
            </w:r>
          </w:p>
        </w:tc>
      </w:tr>
      <w:tr w:rsidTr="00E2507D">
        <w:tblPrEx>
          <w:tblW w:w="0" w:type="auto"/>
          <w:tblLook w:val="04A0"/>
        </w:tblPrEx>
        <w:trPr>
          <w:trHeight w:val="283"/>
        </w:trPr>
        <w:tc>
          <w:tcPr>
            <w:tcW w:w="4350" w:type="dxa"/>
          </w:tcPr>
          <w:p w:rsidR="00E2507D" w:rsidRPr="00506BBC" w:rsidP="00E2507D">
            <w:pPr>
              <w:tabs>
                <w:tab w:val="left" w:pos="567"/>
                <w:tab w:val="left" w:pos="1134"/>
              </w:tabs>
              <w:autoSpaceDE/>
              <w:autoSpaceDN/>
              <w:adjustRightInd/>
              <w:spacing w:after="0"/>
              <w:jc w:val="left"/>
              <w:rPr>
                <w:rFonts w:eastAsia="Cambria" w:cs="Arial"/>
                <w:color w:val="auto"/>
                <w:sz w:val="22"/>
                <w:szCs w:val="22"/>
                <w:highlight w:val="yellow"/>
                <w:lang w:eastAsia="en-GB"/>
              </w:rPr>
            </w:pPr>
            <w:r w:rsidRPr="006A4111">
              <w:t>Learning Disabilities, Autism &amp; Mental Health</w:t>
            </w:r>
          </w:p>
        </w:tc>
        <w:tc>
          <w:tcPr>
            <w:tcW w:w="1769" w:type="dxa"/>
          </w:tcPr>
          <w:p w:rsidR="00E2507D" w:rsidRPr="00174F8F" w:rsidP="00E2507D">
            <w:pPr>
              <w:autoSpaceDE/>
              <w:autoSpaceDN/>
              <w:adjustRightInd/>
              <w:spacing w:after="0"/>
              <w:ind w:right="16"/>
              <w:jc w:val="right"/>
              <w:rPr>
                <w:rFonts w:eastAsia="Cambria" w:cs="Arial"/>
                <w:color w:val="auto"/>
                <w:sz w:val="22"/>
                <w:szCs w:val="22"/>
                <w:lang w:eastAsia="en-GB"/>
              </w:rPr>
            </w:pPr>
            <w:r w:rsidRPr="006A4111">
              <w:t>1.148</w:t>
            </w:r>
          </w:p>
        </w:tc>
        <w:tc>
          <w:tcPr>
            <w:tcW w:w="1579" w:type="dxa"/>
            <w:tcBorders>
              <w:top w:val="nil"/>
              <w:left w:val="single" w:sz="4" w:space="0" w:color="auto"/>
              <w:bottom w:val="single" w:sz="4" w:space="0" w:color="auto"/>
              <w:right w:val="single" w:sz="4" w:space="0" w:color="auto"/>
            </w:tcBorders>
            <w:shd w:val="clear" w:color="auto" w:fill="auto"/>
          </w:tcPr>
          <w:p w:rsidR="00E2507D" w:rsidRPr="00506BBC" w:rsidP="00E2507D">
            <w:pPr>
              <w:autoSpaceDE/>
              <w:autoSpaceDN/>
              <w:adjustRightInd/>
              <w:spacing w:after="0"/>
              <w:ind w:right="16"/>
              <w:jc w:val="right"/>
              <w:rPr>
                <w:rFonts w:eastAsia="Cambria" w:cs="Arial"/>
                <w:color w:val="auto"/>
                <w:highlight w:val="yellow"/>
                <w:lang w:eastAsia="en-GB"/>
              </w:rPr>
            </w:pPr>
            <w:r w:rsidRPr="006A4111">
              <w:t>1.148</w:t>
            </w:r>
          </w:p>
        </w:tc>
        <w:tc>
          <w:tcPr>
            <w:tcW w:w="1277" w:type="dxa"/>
            <w:tcBorders>
              <w:top w:val="nil"/>
              <w:left w:val="nil"/>
              <w:bottom w:val="single" w:sz="4" w:space="0" w:color="auto"/>
              <w:right w:val="single" w:sz="4" w:space="0" w:color="auto"/>
            </w:tcBorders>
            <w:shd w:val="clear" w:color="auto" w:fill="auto"/>
          </w:tcPr>
          <w:p w:rsidR="00E2507D" w:rsidRPr="00506BBC" w:rsidP="00E2507D">
            <w:pPr>
              <w:autoSpaceDE/>
              <w:autoSpaceDN/>
              <w:adjustRightInd/>
              <w:spacing w:after="0"/>
              <w:ind w:right="16"/>
              <w:jc w:val="right"/>
              <w:rPr>
                <w:rFonts w:eastAsia="Cambria" w:cs="Arial"/>
                <w:color w:val="auto"/>
                <w:highlight w:val="yellow"/>
                <w:lang w:eastAsia="en-GB"/>
              </w:rPr>
            </w:pPr>
            <w:r w:rsidRPr="006A4111">
              <w:t>0.000</w:t>
            </w:r>
          </w:p>
        </w:tc>
      </w:tr>
      <w:tr w:rsidTr="00E2507D">
        <w:tblPrEx>
          <w:tblW w:w="0" w:type="auto"/>
          <w:tblLook w:val="04A0"/>
        </w:tblPrEx>
        <w:trPr>
          <w:trHeight w:val="283"/>
        </w:trPr>
        <w:tc>
          <w:tcPr>
            <w:tcW w:w="4350" w:type="dxa"/>
          </w:tcPr>
          <w:p w:rsidR="00E2507D" w:rsidRPr="00506BBC" w:rsidP="00E2507D">
            <w:pPr>
              <w:tabs>
                <w:tab w:val="left" w:pos="567"/>
                <w:tab w:val="left" w:pos="1134"/>
              </w:tabs>
              <w:autoSpaceDE/>
              <w:autoSpaceDN/>
              <w:adjustRightInd/>
              <w:spacing w:after="0"/>
              <w:jc w:val="left"/>
              <w:rPr>
                <w:rFonts w:eastAsia="Cambria" w:cs="Arial"/>
                <w:color w:val="auto"/>
                <w:sz w:val="22"/>
                <w:szCs w:val="22"/>
                <w:highlight w:val="yellow"/>
                <w:lang w:eastAsia="en-GB"/>
              </w:rPr>
            </w:pPr>
            <w:r w:rsidRPr="006A4111">
              <w:t>Patient Safety and Quality Improvement</w:t>
            </w:r>
          </w:p>
        </w:tc>
        <w:tc>
          <w:tcPr>
            <w:tcW w:w="1769" w:type="dxa"/>
          </w:tcPr>
          <w:p w:rsidR="00E2507D" w:rsidRPr="00174F8F" w:rsidP="00E2507D">
            <w:pPr>
              <w:autoSpaceDE/>
              <w:autoSpaceDN/>
              <w:adjustRightInd/>
              <w:spacing w:after="0"/>
              <w:ind w:right="16"/>
              <w:jc w:val="right"/>
              <w:rPr>
                <w:rFonts w:eastAsia="Cambria" w:cs="Arial"/>
                <w:color w:val="auto"/>
                <w:sz w:val="22"/>
                <w:szCs w:val="22"/>
                <w:lang w:eastAsia="en-GB"/>
              </w:rPr>
            </w:pPr>
            <w:r w:rsidRPr="006A4111">
              <w:t>0.090</w:t>
            </w:r>
          </w:p>
        </w:tc>
        <w:tc>
          <w:tcPr>
            <w:tcW w:w="1579" w:type="dxa"/>
            <w:tcBorders>
              <w:top w:val="nil"/>
              <w:left w:val="single" w:sz="4" w:space="0" w:color="auto"/>
              <w:bottom w:val="single" w:sz="4" w:space="0" w:color="auto"/>
              <w:right w:val="single" w:sz="4" w:space="0" w:color="auto"/>
            </w:tcBorders>
            <w:shd w:val="clear" w:color="auto" w:fill="auto"/>
          </w:tcPr>
          <w:p w:rsidR="00E2507D" w:rsidRPr="00506BBC" w:rsidP="00E2507D">
            <w:pPr>
              <w:autoSpaceDE/>
              <w:autoSpaceDN/>
              <w:adjustRightInd/>
              <w:spacing w:after="0"/>
              <w:ind w:right="16"/>
              <w:jc w:val="right"/>
              <w:rPr>
                <w:rFonts w:eastAsia="Cambria" w:cs="Arial"/>
                <w:color w:val="auto"/>
                <w:highlight w:val="yellow"/>
                <w:lang w:eastAsia="en-GB"/>
              </w:rPr>
            </w:pPr>
            <w:r w:rsidRPr="006A4111">
              <w:t>0.090</w:t>
            </w:r>
          </w:p>
        </w:tc>
        <w:tc>
          <w:tcPr>
            <w:tcW w:w="1277" w:type="dxa"/>
            <w:tcBorders>
              <w:top w:val="nil"/>
              <w:left w:val="nil"/>
              <w:bottom w:val="single" w:sz="4" w:space="0" w:color="auto"/>
              <w:right w:val="single" w:sz="4" w:space="0" w:color="auto"/>
            </w:tcBorders>
            <w:shd w:val="clear" w:color="auto" w:fill="auto"/>
          </w:tcPr>
          <w:p w:rsidR="00E2507D" w:rsidRPr="00506BBC" w:rsidP="00E2507D">
            <w:pPr>
              <w:autoSpaceDE/>
              <w:autoSpaceDN/>
              <w:adjustRightInd/>
              <w:spacing w:after="0"/>
              <w:ind w:right="16"/>
              <w:jc w:val="right"/>
              <w:rPr>
                <w:rFonts w:eastAsia="Cambria" w:cs="Arial"/>
                <w:color w:val="auto"/>
                <w:highlight w:val="yellow"/>
                <w:lang w:eastAsia="en-GB"/>
              </w:rPr>
            </w:pPr>
            <w:r w:rsidRPr="006A4111">
              <w:t>0.000</w:t>
            </w:r>
          </w:p>
        </w:tc>
      </w:tr>
      <w:tr w:rsidTr="00E2507D">
        <w:tblPrEx>
          <w:tblW w:w="0" w:type="auto"/>
          <w:tblLook w:val="04A0"/>
        </w:tblPrEx>
        <w:trPr>
          <w:trHeight w:val="283"/>
        </w:trPr>
        <w:tc>
          <w:tcPr>
            <w:tcW w:w="4350" w:type="dxa"/>
          </w:tcPr>
          <w:p w:rsidR="00E2507D" w:rsidRPr="00506BBC" w:rsidP="00E2507D">
            <w:pPr>
              <w:tabs>
                <w:tab w:val="left" w:pos="567"/>
                <w:tab w:val="left" w:pos="1134"/>
              </w:tabs>
              <w:autoSpaceDE/>
              <w:autoSpaceDN/>
              <w:adjustRightInd/>
              <w:spacing w:after="0"/>
              <w:jc w:val="left"/>
              <w:rPr>
                <w:rFonts w:eastAsia="Cambria" w:cs="Arial"/>
                <w:color w:val="auto"/>
                <w:sz w:val="22"/>
                <w:szCs w:val="22"/>
                <w:highlight w:val="yellow"/>
                <w:lang w:eastAsia="en-GB"/>
              </w:rPr>
            </w:pPr>
            <w:r w:rsidRPr="006A4111">
              <w:t>Programme Office</w:t>
            </w:r>
          </w:p>
        </w:tc>
        <w:tc>
          <w:tcPr>
            <w:tcW w:w="1769" w:type="dxa"/>
          </w:tcPr>
          <w:p w:rsidR="00E2507D" w:rsidRPr="00174F8F" w:rsidP="00E2507D">
            <w:pPr>
              <w:autoSpaceDE/>
              <w:autoSpaceDN/>
              <w:adjustRightInd/>
              <w:spacing w:after="0"/>
              <w:ind w:right="16"/>
              <w:jc w:val="right"/>
              <w:rPr>
                <w:rFonts w:eastAsia="Cambria" w:cs="Arial"/>
                <w:color w:val="auto"/>
                <w:sz w:val="22"/>
                <w:szCs w:val="22"/>
                <w:lang w:eastAsia="en-GB"/>
              </w:rPr>
            </w:pPr>
            <w:r w:rsidRPr="006A4111">
              <w:t>1.402</w:t>
            </w:r>
          </w:p>
        </w:tc>
        <w:tc>
          <w:tcPr>
            <w:tcW w:w="1579" w:type="dxa"/>
            <w:tcBorders>
              <w:top w:val="nil"/>
              <w:left w:val="single" w:sz="4" w:space="0" w:color="auto"/>
              <w:bottom w:val="single" w:sz="4" w:space="0" w:color="auto"/>
              <w:right w:val="single" w:sz="4" w:space="0" w:color="auto"/>
            </w:tcBorders>
            <w:shd w:val="clear" w:color="auto" w:fill="auto"/>
          </w:tcPr>
          <w:p w:rsidR="00E2507D" w:rsidRPr="00506BBC" w:rsidP="00E2507D">
            <w:pPr>
              <w:autoSpaceDE/>
              <w:autoSpaceDN/>
              <w:adjustRightInd/>
              <w:spacing w:after="0"/>
              <w:ind w:right="16"/>
              <w:jc w:val="right"/>
              <w:rPr>
                <w:rFonts w:eastAsia="Cambria" w:cs="Arial"/>
                <w:color w:val="auto"/>
                <w:highlight w:val="yellow"/>
                <w:lang w:eastAsia="en-GB"/>
              </w:rPr>
            </w:pPr>
            <w:r w:rsidRPr="006A4111">
              <w:t>1.402</w:t>
            </w:r>
          </w:p>
        </w:tc>
        <w:tc>
          <w:tcPr>
            <w:tcW w:w="1277" w:type="dxa"/>
            <w:tcBorders>
              <w:top w:val="nil"/>
              <w:left w:val="nil"/>
              <w:bottom w:val="single" w:sz="4" w:space="0" w:color="auto"/>
              <w:right w:val="single" w:sz="4" w:space="0" w:color="auto"/>
            </w:tcBorders>
            <w:shd w:val="clear" w:color="auto" w:fill="auto"/>
          </w:tcPr>
          <w:p w:rsidR="00E2507D" w:rsidRPr="00506BBC" w:rsidP="00E2507D">
            <w:pPr>
              <w:autoSpaceDE/>
              <w:autoSpaceDN/>
              <w:adjustRightInd/>
              <w:spacing w:after="0"/>
              <w:ind w:right="16"/>
              <w:jc w:val="right"/>
              <w:rPr>
                <w:rFonts w:eastAsia="Cambria" w:cs="Arial"/>
                <w:color w:val="auto"/>
                <w:highlight w:val="yellow"/>
                <w:lang w:eastAsia="en-GB"/>
              </w:rPr>
            </w:pPr>
            <w:r w:rsidRPr="006A4111">
              <w:t>0.000</w:t>
            </w:r>
          </w:p>
        </w:tc>
      </w:tr>
      <w:tr w:rsidTr="00E2507D">
        <w:tblPrEx>
          <w:tblW w:w="0" w:type="auto"/>
          <w:tblLook w:val="04A0"/>
        </w:tblPrEx>
        <w:trPr>
          <w:trHeight w:val="283"/>
        </w:trPr>
        <w:tc>
          <w:tcPr>
            <w:tcW w:w="4350" w:type="dxa"/>
          </w:tcPr>
          <w:p w:rsidR="00E2507D" w:rsidRPr="00506BBC" w:rsidP="00E2507D">
            <w:pPr>
              <w:tabs>
                <w:tab w:val="left" w:pos="567"/>
                <w:tab w:val="left" w:pos="1134"/>
              </w:tabs>
              <w:autoSpaceDE/>
              <w:autoSpaceDN/>
              <w:adjustRightInd/>
              <w:spacing w:after="0"/>
              <w:jc w:val="left"/>
              <w:rPr>
                <w:rFonts w:eastAsia="Cambria" w:cs="Arial"/>
                <w:color w:val="auto"/>
                <w:sz w:val="22"/>
                <w:szCs w:val="22"/>
                <w:highlight w:val="yellow"/>
                <w:lang w:eastAsia="en-GB"/>
              </w:rPr>
            </w:pPr>
            <w:r w:rsidRPr="006A4111">
              <w:t>Social Care Services (Adults)</w:t>
            </w:r>
          </w:p>
        </w:tc>
        <w:tc>
          <w:tcPr>
            <w:tcW w:w="1769" w:type="dxa"/>
          </w:tcPr>
          <w:p w:rsidR="00E2507D" w:rsidRPr="00174F8F" w:rsidP="00E2507D">
            <w:pPr>
              <w:autoSpaceDE/>
              <w:autoSpaceDN/>
              <w:adjustRightInd/>
              <w:spacing w:after="0"/>
              <w:ind w:right="16"/>
              <w:jc w:val="right"/>
              <w:rPr>
                <w:rFonts w:eastAsia="Cambria" w:cs="Arial"/>
                <w:color w:val="auto"/>
                <w:sz w:val="22"/>
                <w:szCs w:val="22"/>
                <w:lang w:eastAsia="en-GB"/>
              </w:rPr>
            </w:pPr>
            <w:r w:rsidRPr="006A4111">
              <w:t>2.202</w:t>
            </w:r>
          </w:p>
        </w:tc>
        <w:tc>
          <w:tcPr>
            <w:tcW w:w="1579" w:type="dxa"/>
            <w:tcBorders>
              <w:top w:val="nil"/>
              <w:left w:val="single" w:sz="4" w:space="0" w:color="auto"/>
              <w:bottom w:val="single" w:sz="4" w:space="0" w:color="auto"/>
              <w:right w:val="single" w:sz="4" w:space="0" w:color="auto"/>
            </w:tcBorders>
            <w:shd w:val="clear" w:color="auto" w:fill="auto"/>
          </w:tcPr>
          <w:p w:rsidR="00E2507D" w:rsidRPr="00506BBC" w:rsidP="00E2507D">
            <w:pPr>
              <w:autoSpaceDE/>
              <w:autoSpaceDN/>
              <w:adjustRightInd/>
              <w:spacing w:after="0"/>
              <w:ind w:right="16"/>
              <w:jc w:val="right"/>
              <w:rPr>
                <w:rFonts w:eastAsia="Cambria" w:cs="Arial"/>
                <w:color w:val="auto"/>
                <w:highlight w:val="yellow"/>
                <w:lang w:eastAsia="en-GB"/>
              </w:rPr>
            </w:pPr>
            <w:r w:rsidRPr="006A4111">
              <w:t>2.202</w:t>
            </w:r>
          </w:p>
        </w:tc>
        <w:tc>
          <w:tcPr>
            <w:tcW w:w="1277" w:type="dxa"/>
            <w:tcBorders>
              <w:top w:val="nil"/>
              <w:left w:val="nil"/>
              <w:bottom w:val="single" w:sz="4" w:space="0" w:color="auto"/>
              <w:right w:val="single" w:sz="4" w:space="0" w:color="auto"/>
            </w:tcBorders>
            <w:shd w:val="clear" w:color="auto" w:fill="auto"/>
          </w:tcPr>
          <w:p w:rsidR="00E2507D" w:rsidRPr="00506BBC" w:rsidP="00E2507D">
            <w:pPr>
              <w:autoSpaceDE/>
              <w:autoSpaceDN/>
              <w:adjustRightInd/>
              <w:spacing w:after="0"/>
              <w:ind w:right="16"/>
              <w:jc w:val="right"/>
              <w:rPr>
                <w:rFonts w:eastAsia="Cambria" w:cs="Arial"/>
                <w:color w:val="auto"/>
                <w:highlight w:val="yellow"/>
                <w:lang w:eastAsia="en-GB"/>
              </w:rPr>
            </w:pPr>
            <w:r w:rsidRPr="006A4111">
              <w:t>0.000</w:t>
            </w:r>
          </w:p>
        </w:tc>
      </w:tr>
      <w:tr w:rsidTr="00E2507D">
        <w:tblPrEx>
          <w:tblW w:w="0" w:type="auto"/>
          <w:tblLook w:val="04A0"/>
        </w:tblPrEx>
        <w:trPr>
          <w:trHeight w:val="283"/>
        </w:trPr>
        <w:tc>
          <w:tcPr>
            <w:tcW w:w="4350" w:type="dxa"/>
            <w:shd w:val="clear" w:color="auto" w:fill="D9D9D9" w:themeFill="background1" w:themeFillShade="D9"/>
          </w:tcPr>
          <w:p w:rsidR="00E2507D" w:rsidRPr="00506BBC" w:rsidP="00E2507D">
            <w:pPr>
              <w:tabs>
                <w:tab w:val="left" w:pos="567"/>
                <w:tab w:val="left" w:pos="1134"/>
              </w:tabs>
              <w:autoSpaceDE/>
              <w:autoSpaceDN/>
              <w:adjustRightInd/>
              <w:spacing w:after="0"/>
              <w:jc w:val="left"/>
              <w:rPr>
                <w:rFonts w:eastAsia="Cambria" w:cs="Arial"/>
                <w:color w:val="auto"/>
                <w:sz w:val="22"/>
                <w:szCs w:val="22"/>
                <w:highlight w:val="yellow"/>
                <w:lang w:eastAsia="en-GB"/>
              </w:rPr>
            </w:pPr>
            <w:r w:rsidRPr="006A4111">
              <w:t>Grand Total</w:t>
            </w:r>
          </w:p>
        </w:tc>
        <w:tc>
          <w:tcPr>
            <w:tcW w:w="1769" w:type="dxa"/>
            <w:shd w:val="clear" w:color="auto" w:fill="D9D9D9" w:themeFill="background1" w:themeFillShade="D9"/>
          </w:tcPr>
          <w:p w:rsidR="00E2507D" w:rsidRPr="00506BBC" w:rsidP="00E2507D">
            <w:pPr>
              <w:autoSpaceDE/>
              <w:autoSpaceDN/>
              <w:adjustRightInd/>
              <w:spacing w:after="0"/>
              <w:ind w:right="16"/>
              <w:jc w:val="right"/>
              <w:rPr>
                <w:rFonts w:eastAsia="Cambria" w:cs="Arial"/>
                <w:color w:val="auto"/>
                <w:sz w:val="22"/>
                <w:szCs w:val="22"/>
                <w:highlight w:val="yellow"/>
                <w:lang w:eastAsia="en-GB"/>
              </w:rPr>
            </w:pPr>
            <w:r w:rsidRPr="006A4111">
              <w:t>8.000</w:t>
            </w:r>
          </w:p>
        </w:tc>
        <w:tc>
          <w:tcPr>
            <w:tcW w:w="1579" w:type="dxa"/>
            <w:tcBorders>
              <w:top w:val="nil"/>
              <w:left w:val="single" w:sz="4" w:space="0" w:color="auto"/>
              <w:bottom w:val="single" w:sz="4" w:space="0" w:color="auto"/>
              <w:right w:val="single" w:sz="4" w:space="0" w:color="auto"/>
            </w:tcBorders>
            <w:shd w:val="clear" w:color="auto" w:fill="D9D9D9" w:themeFill="background1" w:themeFillShade="D9"/>
          </w:tcPr>
          <w:p w:rsidR="00E2507D" w:rsidRPr="00B860E1" w:rsidP="00E2507D">
            <w:pPr>
              <w:autoSpaceDE/>
              <w:autoSpaceDN/>
              <w:adjustRightInd/>
              <w:spacing w:after="0"/>
              <w:jc w:val="right"/>
              <w:rPr>
                <w:rFonts w:eastAsia="Cambria" w:cs="Arial"/>
                <w:b/>
                <w:color w:val="auto"/>
                <w:highlight w:val="yellow"/>
                <w:lang w:eastAsia="en-GB"/>
              </w:rPr>
            </w:pPr>
            <w:r w:rsidRPr="006A4111">
              <w:t>£7.725</w:t>
            </w:r>
          </w:p>
        </w:tc>
        <w:tc>
          <w:tcPr>
            <w:tcW w:w="1277" w:type="dxa"/>
            <w:tcBorders>
              <w:top w:val="nil"/>
              <w:left w:val="nil"/>
              <w:bottom w:val="single" w:sz="4" w:space="0" w:color="auto"/>
              <w:right w:val="single" w:sz="4" w:space="0" w:color="auto"/>
            </w:tcBorders>
            <w:shd w:val="clear" w:color="auto" w:fill="D9D9D9" w:themeFill="background1" w:themeFillShade="D9"/>
          </w:tcPr>
          <w:p w:rsidR="00E2507D" w:rsidRPr="00B860E1" w:rsidP="00E2507D">
            <w:pPr>
              <w:autoSpaceDE/>
              <w:autoSpaceDN/>
              <w:adjustRightInd/>
              <w:spacing w:after="0"/>
              <w:jc w:val="right"/>
              <w:rPr>
                <w:rFonts w:cs="Arial"/>
                <w:b/>
              </w:rPr>
            </w:pPr>
            <w:r w:rsidRPr="006A4111">
              <w:t>-0.275</w:t>
            </w:r>
          </w:p>
        </w:tc>
      </w:tr>
    </w:tbl>
    <w:p w:rsidR="00E2507D" w:rsidRPr="00506BBC" w:rsidP="00E2507D">
      <w:pPr>
        <w:tabs>
          <w:tab w:val="left" w:pos="567"/>
          <w:tab w:val="left" w:pos="1134"/>
        </w:tabs>
        <w:autoSpaceDE/>
        <w:autoSpaceDN/>
        <w:adjustRightInd/>
        <w:spacing w:after="0" w:line="276" w:lineRule="auto"/>
        <w:rPr>
          <w:rFonts w:eastAsia="Times New Roman" w:cs="Arial"/>
          <w:color w:val="auto"/>
          <w:szCs w:val="22"/>
          <w:highlight w:val="yellow"/>
        </w:rPr>
      </w:pPr>
    </w:p>
    <w:p w:rsidR="00E2507D" w:rsidP="00E2507D"/>
    <w:p w:rsidR="00E2507D" w:rsidRPr="00BB748D" w:rsidP="00E2507D">
      <w:r w:rsidRPr="00BB748D">
        <w:t>In 2019/20 actual receipts totalled £7.</w:t>
      </w:r>
      <w:r>
        <w:t>725</w:t>
      </w:r>
      <w:r w:rsidRPr="00BB748D">
        <w:t xml:space="preserve">m, </w:t>
      </w:r>
      <w:r>
        <w:t>a shortfall of £0.275m against a budget of £8.000m</w:t>
      </w:r>
      <w:r w:rsidRPr="00BB748D">
        <w:t xml:space="preserve">. </w:t>
      </w:r>
      <w:r>
        <w:t xml:space="preserve"> A contribution from reserves offset the shortfall.  </w:t>
      </w:r>
    </w:p>
    <w:p w:rsidR="00E2507D" w:rsidRPr="00A13D2A" w:rsidP="00E2507D">
      <w:r w:rsidRPr="00A13D2A">
        <w:t xml:space="preserve">The funding shown above has been used to support </w:t>
      </w:r>
    </w:p>
    <w:p w:rsidR="00E2507D" w:rsidRPr="00A13D2A" w:rsidP="00E2507D">
      <w:pPr>
        <w:numPr>
          <w:ilvl w:val="0"/>
          <w:numId w:val="30"/>
        </w:numPr>
        <w:autoSpaceDE/>
        <w:autoSpaceDN/>
        <w:adjustRightInd/>
        <w:spacing w:after="160" w:line="259" w:lineRule="auto"/>
        <w:jc w:val="left"/>
      </w:pPr>
      <w:r w:rsidRPr="00A13D2A">
        <w:t xml:space="preserve">Transformation activity to support the delivery of </w:t>
      </w:r>
      <w:r>
        <w:t>service challenge savings of £53.275</w:t>
      </w:r>
      <w:r w:rsidRPr="00A13D2A">
        <w:t xml:space="preserve">m. </w:t>
      </w:r>
    </w:p>
    <w:p w:rsidR="00E2507D" w:rsidRPr="00BB748D" w:rsidP="00E2507D">
      <w:r w:rsidRPr="00BB748D">
        <w:t>At Full Council in February each year the county council's prudential indicators are reviewed and approved</w:t>
      </w:r>
      <w:r>
        <w:t xml:space="preserve"> a</w:t>
      </w:r>
      <w:r w:rsidRPr="00BB748D">
        <w:t>s part of the Treasury Management Strategy</w:t>
      </w:r>
      <w:r>
        <w:t>.</w:t>
      </w:r>
      <w:r w:rsidRPr="00BB748D">
        <w:t xml:space="preserve">  </w:t>
      </w:r>
      <w:r>
        <w:t xml:space="preserve"> T</w:t>
      </w:r>
      <w:r w:rsidRPr="00BB748D">
        <w:t xml:space="preserve">he level of indicators incorporate the budgeted level of capital receipts that </w:t>
      </w:r>
      <w:r>
        <w:t>are</w:t>
      </w:r>
      <w:r w:rsidRPr="00BB748D">
        <w:t xml:space="preserve"> used to support the revenue budget rather than the capital programme. The indicators are reviewed on a regular basis and reported to Members on a quarterly basis.</w:t>
      </w:r>
    </w:p>
    <w:p w:rsidR="00E2507D" w:rsidRPr="00AB33E5" w:rsidP="00E2507D">
      <w:pPr>
        <w:autoSpaceDE/>
        <w:autoSpaceDN/>
        <w:adjustRightInd/>
        <w:spacing w:after="0"/>
        <w:jc w:val="left"/>
        <w:rPr>
          <w:rFonts w:cs="Arial"/>
          <w:b/>
          <w:lang w:eastAsia="en-GB"/>
        </w:rPr>
      </w:pPr>
      <w:r w:rsidRPr="00506BBC">
        <w:rPr>
          <w:highlight w:val="yellow"/>
        </w:rPr>
        <w:br w:type="page"/>
      </w:r>
      <w:r w:rsidRPr="00AB33E5">
        <w:rPr>
          <w:rFonts w:cs="Arial"/>
          <w:b/>
          <w:lang w:eastAsia="en-GB"/>
        </w:rPr>
        <w:t>Section E – Conclusion on the County Council's Financial Health</w:t>
      </w:r>
    </w:p>
    <w:p w:rsidR="00E2507D" w:rsidRPr="00506BBC" w:rsidP="00E2507D">
      <w:pPr>
        <w:spacing w:after="0"/>
        <w:rPr>
          <w:rFonts w:cs="Arial"/>
          <w:highlight w:val="yellow"/>
        </w:rPr>
      </w:pPr>
    </w:p>
    <w:p w:rsidR="00E2507D" w:rsidRPr="00A93003" w:rsidP="00E2507D">
      <w:pPr>
        <w:spacing w:after="0"/>
        <w:rPr>
          <w:rFonts w:cs="Arial"/>
        </w:rPr>
      </w:pPr>
      <w:r w:rsidRPr="00A93003">
        <w:rPr>
          <w:rFonts w:cs="Arial"/>
        </w:rPr>
        <w:t>Whilst the revenue outturn position for 2019/20 presented within the report is positive in headline terms, the revenue budget was supported by reserves to meet the structural funding gap.  The underlying outturn position, excluding the structural application of reserves, was an overspend of c£8.5m and a forecast funding gap of £38.4m by 2023/24 remains.</w:t>
      </w:r>
    </w:p>
    <w:p w:rsidR="00E2507D" w:rsidRPr="00506BBC" w:rsidP="00E2507D">
      <w:pPr>
        <w:spacing w:after="0"/>
        <w:rPr>
          <w:rFonts w:cs="Arial"/>
          <w:highlight w:val="yellow"/>
        </w:rPr>
      </w:pPr>
    </w:p>
    <w:p w:rsidR="00E2507D" w:rsidRPr="00A93003" w:rsidP="00E2507D">
      <w:pPr>
        <w:spacing w:after="0"/>
        <w:rPr>
          <w:rFonts w:cs="Arial"/>
        </w:rPr>
      </w:pPr>
      <w:r w:rsidRPr="00A93003">
        <w:rPr>
          <w:rFonts w:cs="Arial"/>
        </w:rPr>
        <w:t>The agreed use of reserves in 2019/20 revenue budget to meet the structural funding gap represents a continuation of recent year's reserves commitments to support the delivery of a significant number of agreed savings plans and the funding gap, whilst savings proposals to reduce the funding gap have been developed.  These have been a combination of efficiencies, demand management, income generation, reduction in some services and reducing the level of revenue funding of the capital programme.</w:t>
      </w:r>
      <w:r>
        <w:rPr>
          <w:rFonts w:cs="Arial"/>
        </w:rPr>
        <w:t xml:space="preserve"> It is pleasing to note that currently it is forecast that there will be no require</w:t>
      </w:r>
      <w:r w:rsidR="0059799B">
        <w:rPr>
          <w:rFonts w:cs="Arial"/>
        </w:rPr>
        <w:t>ment</w:t>
      </w:r>
      <w:r>
        <w:rPr>
          <w:rFonts w:cs="Arial"/>
        </w:rPr>
        <w:t xml:space="preserve"> to support the 2020/21 budget with reserve funding, although we will continue to monitor the financial impact of the Coronavirus emergency.</w:t>
      </w:r>
    </w:p>
    <w:p w:rsidR="00E2507D" w:rsidRPr="00506BBC" w:rsidP="00E2507D">
      <w:pPr>
        <w:spacing w:after="0"/>
        <w:rPr>
          <w:rFonts w:cs="Arial"/>
          <w:highlight w:val="yellow"/>
        </w:rPr>
      </w:pPr>
    </w:p>
    <w:p w:rsidR="00E2507D" w:rsidRPr="00A93003" w:rsidP="00E2507D">
      <w:pPr>
        <w:spacing w:after="0"/>
        <w:rPr>
          <w:rFonts w:cs="Arial"/>
        </w:rPr>
      </w:pPr>
      <w:r w:rsidRPr="00A93003">
        <w:rPr>
          <w:rFonts w:cs="Arial"/>
        </w:rPr>
        <w:t xml:space="preserve">The availability of reserves to support recent revenue budgets has been enabled by good financial stewardship.  The council has a track record of delivering positive outturn positions in most years through strong financial management, including delivering the majority of savings that have been agreed in budget cycles.  </w:t>
      </w:r>
    </w:p>
    <w:p w:rsidR="00E2507D" w:rsidRPr="00506BBC" w:rsidP="00E2507D">
      <w:pPr>
        <w:spacing w:after="0"/>
        <w:rPr>
          <w:rFonts w:cs="Arial"/>
          <w:highlight w:val="yellow"/>
        </w:rPr>
      </w:pPr>
    </w:p>
    <w:p w:rsidR="00E2507D" w:rsidRPr="00A93003" w:rsidP="00E2507D">
      <w:pPr>
        <w:spacing w:after="0"/>
        <w:rPr>
          <w:rFonts w:cs="Arial"/>
        </w:rPr>
      </w:pPr>
      <w:r w:rsidRPr="00A93003">
        <w:rPr>
          <w:rFonts w:cs="Arial"/>
        </w:rPr>
        <w:t xml:space="preserve">Positively this has continued in 2019/20 with the revenue underspend resulting in a much lower net reduction in reserves than was originally budgeted for.  Some elements of the underspend reflect early delivery of savings now agreed as part of the 2019/20 budget, but detailed work is being undertaken to determine the extent to which any of the underspending areas represent structural underspends not yet adjusted for within the MTFS for future years, e.g. continuing strong treasury management performance. Similarly, overspending areas are also being reviewed to determine the extent that it is recurrent and not reflected in the MTFS, with an updated position to be reported to cabinet in September. </w:t>
      </w:r>
    </w:p>
    <w:p w:rsidR="00E2507D" w:rsidRPr="00506BBC" w:rsidP="00E2507D">
      <w:pPr>
        <w:spacing w:after="0"/>
        <w:rPr>
          <w:rFonts w:cs="Arial"/>
          <w:highlight w:val="yellow"/>
        </w:rPr>
      </w:pPr>
    </w:p>
    <w:p w:rsidR="00E2507D" w:rsidRPr="00A93003" w:rsidP="00E2507D">
      <w:pPr>
        <w:spacing w:after="0"/>
        <w:rPr>
          <w:rFonts w:cs="Arial"/>
        </w:rPr>
      </w:pPr>
      <w:r w:rsidRPr="00A93003">
        <w:rPr>
          <w:rFonts w:cs="Arial"/>
        </w:rPr>
        <w:t>The proportion of the council's revenue budget spent on key demand led areas continues to increase and remains a challenge as a result of the ageing population and increasing demand, despite the application of the adult social care precept.  The other significant area of demand is children's social care.</w:t>
      </w:r>
    </w:p>
    <w:p w:rsidR="00E2507D" w:rsidRPr="00506BBC" w:rsidP="00E2507D">
      <w:pPr>
        <w:spacing w:after="0"/>
        <w:rPr>
          <w:rFonts w:cs="Arial"/>
          <w:highlight w:val="yellow"/>
        </w:rPr>
      </w:pPr>
    </w:p>
    <w:p w:rsidR="00E2507D" w:rsidRPr="008043FC" w:rsidP="00E2507D">
      <w:pPr>
        <w:spacing w:after="0"/>
        <w:rPr>
          <w:rFonts w:cs="Arial"/>
        </w:rPr>
      </w:pPr>
      <w:r w:rsidRPr="00021D38">
        <w:rPr>
          <w:rFonts w:cs="Arial"/>
        </w:rPr>
        <w:t xml:space="preserve">On the assumption that sufficient funding is provided by central government to </w:t>
      </w:r>
      <w:r w:rsidR="0059799B">
        <w:rPr>
          <w:rFonts w:cs="Arial"/>
        </w:rPr>
        <w:t>address</w:t>
      </w:r>
      <w:r w:rsidRPr="00021D38">
        <w:rPr>
          <w:rFonts w:cs="Arial"/>
        </w:rPr>
        <w:t xml:space="preserve"> the </w:t>
      </w:r>
      <w:r w:rsidR="0059799B">
        <w:rPr>
          <w:rFonts w:cs="Arial"/>
        </w:rPr>
        <w:t xml:space="preserve">financial </w:t>
      </w:r>
      <w:r w:rsidRPr="00021D38">
        <w:rPr>
          <w:rFonts w:cs="Arial"/>
        </w:rPr>
        <w:t>impacts of Covid</w:t>
      </w:r>
      <w:r w:rsidR="0059799B">
        <w:rPr>
          <w:rFonts w:cs="Arial"/>
        </w:rPr>
        <w:t>-</w:t>
      </w:r>
      <w:r w:rsidRPr="00021D38">
        <w:rPr>
          <w:rFonts w:cs="Arial"/>
        </w:rPr>
        <w:t xml:space="preserve">19 the remaining reserves are forecast to be sufficient to enable a balanced budget to be set until 2023/24, however it is critical that further proposals are developed to address the funding gap. Following the successful identification of savings as part of phase 1 of service challenge, phase 2 which has </w:t>
      </w:r>
      <w:r w:rsidRPr="008043FC">
        <w:rPr>
          <w:rFonts w:cs="Arial"/>
        </w:rPr>
        <w:t xml:space="preserve">currently paused due to the current emergency </w:t>
      </w:r>
      <w:r w:rsidR="0059799B">
        <w:rPr>
          <w:rFonts w:cs="Arial"/>
        </w:rPr>
        <w:t>will build</w:t>
      </w:r>
      <w:r w:rsidRPr="008043FC">
        <w:rPr>
          <w:rFonts w:cs="Arial"/>
        </w:rPr>
        <w:t xml:space="preserve"> on the good work to date and identify further savings</w:t>
      </w:r>
      <w:r w:rsidR="0059799B">
        <w:rPr>
          <w:rFonts w:cs="Arial"/>
        </w:rPr>
        <w:t xml:space="preserve"> proposals</w:t>
      </w:r>
      <w:r w:rsidRPr="008043FC">
        <w:rPr>
          <w:rFonts w:cs="Arial"/>
        </w:rPr>
        <w:t xml:space="preserve">. This phase will focus on more cross cutting themes throughout the council. This initiative will also incorporate the agreed corporate strategy and use the priorities identified as a framework for prioritisation across the council. </w:t>
      </w:r>
    </w:p>
    <w:p w:rsidR="00E2507D" w:rsidRPr="008043FC" w:rsidP="00E2507D">
      <w:pPr>
        <w:spacing w:after="0"/>
        <w:rPr>
          <w:rFonts w:cs="Arial"/>
        </w:rPr>
      </w:pPr>
    </w:p>
    <w:p w:rsidR="00E2507D" w:rsidRPr="008043FC" w:rsidP="00E2507D">
      <w:pPr>
        <w:spacing w:after="0"/>
        <w:rPr>
          <w:rFonts w:cs="Arial"/>
        </w:rPr>
      </w:pPr>
      <w:r w:rsidRPr="008043FC">
        <w:rPr>
          <w:rFonts w:cs="Arial"/>
        </w:rPr>
        <w:t xml:space="preserve">As with any such plan, the medium term financial strategy contains a number of assumptions within future year forecasts reflecting a number of unknown elements in relation to the future funding of local government. In particular for this year the uncertainty around the full financial impact of the activity needed to support and </w:t>
      </w:r>
      <w:r w:rsidRPr="008043FC">
        <w:rPr>
          <w:rFonts w:cs="Arial"/>
        </w:rPr>
        <w:t xml:space="preserve">protect residents and colleagues as a result of Coronavirus and the extent to which government will make good the </w:t>
      </w:r>
      <w:r w:rsidR="00531352">
        <w:rPr>
          <w:rFonts w:cs="Arial"/>
        </w:rPr>
        <w:t xml:space="preserve">financial </w:t>
      </w:r>
      <w:r w:rsidRPr="008043FC">
        <w:rPr>
          <w:rFonts w:cs="Arial"/>
        </w:rPr>
        <w:t xml:space="preserve">pressures </w:t>
      </w:r>
      <w:r w:rsidR="00531352">
        <w:rPr>
          <w:rFonts w:cs="Arial"/>
        </w:rPr>
        <w:t xml:space="preserve">in both 2020/21 and beyond </w:t>
      </w:r>
      <w:r w:rsidRPr="008043FC">
        <w:rPr>
          <w:rFonts w:cs="Arial"/>
        </w:rPr>
        <w:t>create</w:t>
      </w:r>
      <w:r w:rsidR="0059799B">
        <w:rPr>
          <w:rFonts w:cs="Arial"/>
        </w:rPr>
        <w:t>s</w:t>
      </w:r>
      <w:r w:rsidRPr="008043FC">
        <w:rPr>
          <w:rFonts w:cs="Arial"/>
        </w:rPr>
        <w:t xml:space="preserve"> additional uncertainty. </w:t>
      </w:r>
    </w:p>
    <w:p w:rsidR="00E2507D" w:rsidRPr="008043FC" w:rsidP="00E2507D">
      <w:pPr>
        <w:spacing w:after="0"/>
        <w:rPr>
          <w:rFonts w:cs="Arial"/>
        </w:rPr>
      </w:pPr>
    </w:p>
    <w:p w:rsidR="00E2507D" w:rsidP="00E2507D">
      <w:pPr>
        <w:spacing w:after="0"/>
        <w:rPr>
          <w:rFonts w:cs="Arial"/>
        </w:rPr>
      </w:pPr>
      <w:r w:rsidRPr="008043FC">
        <w:rPr>
          <w:rFonts w:cs="Arial"/>
        </w:rPr>
        <w:t>The government's aim to introduce a new fair funding formula and 75% business rates retention have been further delayed by at least a year.</w:t>
      </w:r>
      <w:r w:rsidR="0059799B">
        <w:rPr>
          <w:rFonts w:cs="Arial"/>
        </w:rPr>
        <w:t xml:space="preserve">  </w:t>
      </w:r>
      <w:r w:rsidRPr="008043FC">
        <w:rPr>
          <w:rFonts w:cs="Arial"/>
        </w:rPr>
        <w:t>As a result of these factors the impact on the council's funding envelope is unknown</w:t>
      </w:r>
      <w:r w:rsidR="00531352">
        <w:rPr>
          <w:rFonts w:cs="Arial"/>
        </w:rPr>
        <w:t xml:space="preserve"> but will become clearer over the coming months</w:t>
      </w:r>
      <w:r w:rsidR="0059799B">
        <w:rPr>
          <w:rFonts w:cs="Arial"/>
        </w:rPr>
        <w:t xml:space="preserve"> and a</w:t>
      </w:r>
      <w:r w:rsidRPr="008043FC">
        <w:rPr>
          <w:rFonts w:cs="Arial"/>
        </w:rPr>
        <w:t>t this stage we anticipate a one-year settlement in the autumn</w:t>
      </w:r>
      <w:r w:rsidR="0059799B">
        <w:rPr>
          <w:rFonts w:cs="Arial"/>
        </w:rPr>
        <w:t xml:space="preserve">.  </w:t>
      </w:r>
    </w:p>
    <w:p w:rsidR="00E2507D" w:rsidRPr="007C7D67">
      <w:pPr>
        <w:spacing w:after="0"/>
        <w:rPr>
          <w:rFonts w:cs="Arial"/>
          <w:b/>
        </w:rPr>
      </w:pPr>
    </w:p>
    <w:sectPr w:rsidSect="00E2507D">
      <w:pgSz w:w="11906" w:h="16838"/>
      <w:pgMar w:top="567" w:right="1361" w:bottom="567" w:left="1560"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1F8A" w:rsidP="00E2507D">
    <w:pPr>
      <w:pStyle w:val="Footer"/>
      <w:jc w:val="right"/>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B71B53">
      <w:rPr>
        <w:caps/>
        <w:noProof/>
        <w:color w:val="4F81BD" w:themeColor="accent1"/>
      </w:rPr>
      <w:t>2</w:t>
    </w:r>
    <w:r>
      <w:rPr>
        <w:caps/>
        <w:noProof/>
        <w:color w:val="4F81BD" w:themeColor="accent1"/>
      </w:rPr>
      <w:fldChar w:fldCharType="end"/>
    </w:r>
  </w:p>
  <w:p w:rsidR="00711F8A">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1F8A">
    <w:pPr>
      <w:pStyle w:val="Header"/>
    </w:pPr>
    <w:r>
      <w:rPr>
        <w:noProof/>
        <w:lang w:eastAsia="en-GB"/>
      </w:rPr>
      <w:drawing>
        <wp:anchor distT="0" distB="0" distL="114300" distR="114300" simplePos="0" relativeHeight="251658240" behindDoc="1" locked="0" layoutInCell="1" allowOverlap="1">
          <wp:simplePos x="0" y="0"/>
          <wp:positionH relativeFrom="column">
            <wp:posOffset>-915035</wp:posOffset>
          </wp:positionH>
          <wp:positionV relativeFrom="paragraph">
            <wp:posOffset>-189230</wp:posOffset>
          </wp:positionV>
          <wp:extent cx="7548880" cy="6653530"/>
          <wp:effectExtent l="19050" t="0" r="0" b="0"/>
          <wp:wrapNone/>
          <wp:docPr id="10" name="Picture 12" descr="Ins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260644" name="Picture 12" descr="Inside1"/>
                  <pic:cNvPicPr>
                    <a:picLocks noChangeAspect="1" noChangeArrowheads="1"/>
                  </pic:cNvPicPr>
                </pic:nvPicPr>
                <pic:blipFill>
                  <a:blip xmlns:r="http://schemas.openxmlformats.org/officeDocument/2006/relationships" r:embed="rId1"/>
                  <a:srcRect b="37526"/>
                  <a:stretch>
                    <a:fillRect/>
                  </a:stretch>
                </pic:blipFill>
                <pic:spPr bwMode="auto">
                  <a:xfrm>
                    <a:off x="0" y="0"/>
                    <a:ext cx="7548880" cy="665353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1F8A" w:rsidP="00E2507D">
    <w:pPr>
      <w:pStyle w:val="Header"/>
    </w:pPr>
    <w:r>
      <w:rPr>
        <w:noProof/>
        <w:lang w:eastAsia="en-GB"/>
      </w:rPr>
      <w:drawing>
        <wp:anchor distT="0" distB="0" distL="114300" distR="114300" simplePos="0" relativeHeight="251659264" behindDoc="1" locked="0" layoutInCell="1" allowOverlap="1">
          <wp:simplePos x="0" y="0"/>
          <wp:positionH relativeFrom="page">
            <wp:align>right</wp:align>
          </wp:positionH>
          <wp:positionV relativeFrom="paragraph">
            <wp:posOffset>-433395</wp:posOffset>
          </wp:positionV>
          <wp:extent cx="7564755" cy="10689590"/>
          <wp:effectExtent l="0" t="0" r="0" b="0"/>
          <wp:wrapNone/>
          <wp:docPr id="12" name="Picture 12" descr="5085 Report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683276" name="Picture 2" descr="5085 Report Front"/>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64755" cy="1068959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780834C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19256E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47040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FCEC45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01660B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6A46B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94E64F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36E9B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6809232"/>
    <w:lvl w:ilvl="0">
      <w:start w:val="1"/>
      <w:numFmt w:val="decimal"/>
      <w:pStyle w:val="ListNumber"/>
      <w:lvlText w:val="%1."/>
      <w:lvlJc w:val="left"/>
      <w:pPr>
        <w:tabs>
          <w:tab w:val="num" w:pos="360"/>
        </w:tabs>
        <w:ind w:left="360" w:hanging="360"/>
      </w:pPr>
    </w:lvl>
  </w:abstractNum>
  <w:abstractNum w:abstractNumId="9">
    <w:nsid w:val="FFFFFF89"/>
    <w:multiLevelType w:val="singleLevel"/>
    <w:tmpl w:val="225ED3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894EE873"/>
    <w:lvl w:ilvl="0">
      <w:start w:val="1"/>
      <w:numFmt w:val="decimal"/>
      <w:pStyle w:val="ImportWordListStyleDefinition30"/>
      <w:lvlText w:val="%1."/>
      <w:lvlJc w:val="left"/>
      <w:pPr>
        <w:tabs>
          <w:tab w:val="num" w:pos="360"/>
        </w:tabs>
        <w:ind w:left="360" w:firstLine="0"/>
      </w:pPr>
      <w:rPr>
        <w:rFonts w:cs="Times New Roman"/>
        <w:position w:val="0"/>
      </w:rPr>
    </w:lvl>
    <w:lvl w:ilvl="1">
      <w:start w:val="1"/>
      <w:numFmt w:val="lowerLetter"/>
      <w:lvlText w:val="%2."/>
      <w:lvlJc w:val="left"/>
      <w:pPr>
        <w:tabs>
          <w:tab w:val="num" w:pos="360"/>
        </w:tabs>
        <w:ind w:left="360" w:firstLine="720"/>
      </w:pPr>
      <w:rPr>
        <w:rFonts w:cs="Times New Roman"/>
        <w:position w:val="0"/>
      </w:rPr>
    </w:lvl>
    <w:lvl w:ilvl="2">
      <w:start w:val="1"/>
      <w:numFmt w:val="lowerRoman"/>
      <w:lvlText w:val="%3."/>
      <w:lvlJc w:val="left"/>
      <w:pPr>
        <w:tabs>
          <w:tab w:val="num" w:pos="296"/>
        </w:tabs>
        <w:ind w:left="296" w:firstLine="1504"/>
      </w:pPr>
      <w:rPr>
        <w:rFonts w:cs="Times New Roman"/>
        <w:position w:val="0"/>
      </w:rPr>
    </w:lvl>
    <w:lvl w:ilvl="3">
      <w:start w:val="1"/>
      <w:numFmt w:val="decimal"/>
      <w:lvlText w:val="%4."/>
      <w:lvlJc w:val="left"/>
      <w:pPr>
        <w:tabs>
          <w:tab w:val="num" w:pos="360"/>
        </w:tabs>
        <w:ind w:left="360" w:firstLine="2160"/>
      </w:pPr>
      <w:rPr>
        <w:rFonts w:cs="Times New Roman"/>
        <w:position w:val="0"/>
      </w:rPr>
    </w:lvl>
    <w:lvl w:ilvl="4">
      <w:start w:val="1"/>
      <w:numFmt w:val="lowerLetter"/>
      <w:lvlText w:val="%5."/>
      <w:lvlJc w:val="left"/>
      <w:pPr>
        <w:tabs>
          <w:tab w:val="num" w:pos="360"/>
        </w:tabs>
        <w:ind w:left="360" w:firstLine="2880"/>
      </w:pPr>
      <w:rPr>
        <w:rFonts w:cs="Times New Roman"/>
        <w:position w:val="0"/>
      </w:rPr>
    </w:lvl>
    <w:lvl w:ilvl="5">
      <w:start w:val="1"/>
      <w:numFmt w:val="lowerRoman"/>
      <w:lvlText w:val="%6."/>
      <w:lvlJc w:val="left"/>
      <w:pPr>
        <w:tabs>
          <w:tab w:val="num" w:pos="296"/>
        </w:tabs>
        <w:ind w:left="296" w:firstLine="3664"/>
      </w:pPr>
      <w:rPr>
        <w:rFonts w:cs="Times New Roman"/>
        <w:position w:val="0"/>
      </w:rPr>
    </w:lvl>
    <w:lvl w:ilvl="6">
      <w:start w:val="1"/>
      <w:numFmt w:val="decimal"/>
      <w:lvlText w:val="%7."/>
      <w:lvlJc w:val="left"/>
      <w:pPr>
        <w:tabs>
          <w:tab w:val="num" w:pos="360"/>
        </w:tabs>
        <w:ind w:left="360" w:firstLine="4320"/>
      </w:pPr>
      <w:rPr>
        <w:rFonts w:cs="Times New Roman"/>
        <w:position w:val="0"/>
      </w:rPr>
    </w:lvl>
    <w:lvl w:ilvl="7">
      <w:start w:val="1"/>
      <w:numFmt w:val="lowerLetter"/>
      <w:lvlText w:val="%8."/>
      <w:lvlJc w:val="left"/>
      <w:pPr>
        <w:tabs>
          <w:tab w:val="num" w:pos="360"/>
        </w:tabs>
        <w:ind w:left="360" w:firstLine="5040"/>
      </w:pPr>
      <w:rPr>
        <w:rFonts w:cs="Times New Roman"/>
        <w:position w:val="0"/>
      </w:rPr>
    </w:lvl>
    <w:lvl w:ilvl="8">
      <w:start w:val="1"/>
      <w:numFmt w:val="lowerRoman"/>
      <w:lvlText w:val="%9."/>
      <w:lvlJc w:val="left"/>
      <w:pPr>
        <w:tabs>
          <w:tab w:val="num" w:pos="296"/>
        </w:tabs>
        <w:ind w:left="296" w:firstLine="5824"/>
      </w:pPr>
      <w:rPr>
        <w:rFonts w:cs="Times New Roman"/>
        <w:position w:val="0"/>
      </w:rPr>
    </w:lvl>
  </w:abstractNum>
  <w:abstractNum w:abstractNumId="11">
    <w:nsid w:val="00000003"/>
    <w:multiLevelType w:val="multilevel"/>
    <w:tmpl w:val="894EE875"/>
    <w:lvl w:ilvl="0">
      <w:start w:val="1"/>
      <w:numFmt w:val="bullet"/>
      <w:pStyle w:val="ImportWordListStyleDefinition19"/>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2">
    <w:nsid w:val="00000005"/>
    <w:multiLevelType w:val="multilevel"/>
    <w:tmpl w:val="894EE877"/>
    <w:lvl w:ilvl="0">
      <w:start w:val="1"/>
      <w:numFmt w:val="bullet"/>
      <w:pStyle w:val="List0"/>
      <w:lvlText w:val="•"/>
      <w:lvlJc w:val="left"/>
      <w:pPr>
        <w:tabs>
          <w:tab w:val="num" w:pos="360"/>
        </w:tabs>
        <w:ind w:left="360" w:firstLine="774"/>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3">
    <w:nsid w:val="00000006"/>
    <w:multiLevelType w:val="multilevel"/>
    <w:tmpl w:val="894EE878"/>
    <w:lvl w:ilvl="0">
      <w:start w:val="1"/>
      <w:numFmt w:val="bullet"/>
      <w:pStyle w:val="ImportWordListStyleDefinition1"/>
      <w:lvlText w:val="•"/>
      <w:lvlJc w:val="left"/>
      <w:pPr>
        <w:tabs>
          <w:tab w:val="num" w:pos="360"/>
        </w:tabs>
        <w:ind w:left="360" w:firstLine="5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4">
    <w:nsid w:val="00000008"/>
    <w:multiLevelType w:val="multilevel"/>
    <w:tmpl w:val="894EE87A"/>
    <w:lvl w:ilvl="0">
      <w:start w:val="1"/>
      <w:numFmt w:val="bullet"/>
      <w:pStyle w:val="List1"/>
      <w:lvlText w:val="•"/>
      <w:lvlJc w:val="left"/>
      <w:pPr>
        <w:tabs>
          <w:tab w:val="num" w:pos="153"/>
        </w:tabs>
        <w:ind w:left="153" w:firstLine="567"/>
      </w:pPr>
      <w:rPr>
        <w:position w:val="0"/>
      </w:rPr>
    </w:lvl>
    <w:lvl w:ilvl="1">
      <w:start w:val="1"/>
      <w:numFmt w:val="bullet"/>
      <w:lvlText w:val="o"/>
      <w:lvlJc w:val="left"/>
      <w:pPr>
        <w:tabs>
          <w:tab w:val="num" w:pos="360"/>
        </w:tabs>
        <w:ind w:left="360" w:firstLine="1287"/>
      </w:pPr>
      <w:rPr>
        <w:position w:val="0"/>
      </w:rPr>
    </w:lvl>
    <w:lvl w:ilvl="2">
      <w:start w:val="1"/>
      <w:numFmt w:val="bullet"/>
      <w:lvlText w:val="•"/>
      <w:lvlJc w:val="left"/>
      <w:pPr>
        <w:tabs>
          <w:tab w:val="num" w:pos="360"/>
        </w:tabs>
        <w:ind w:left="360" w:firstLine="2007"/>
      </w:pPr>
      <w:rPr>
        <w:position w:val="0"/>
      </w:rPr>
    </w:lvl>
    <w:lvl w:ilvl="3">
      <w:start w:val="1"/>
      <w:numFmt w:val="bullet"/>
      <w:lvlText w:val="•"/>
      <w:lvlJc w:val="left"/>
      <w:pPr>
        <w:tabs>
          <w:tab w:val="num" w:pos="360"/>
        </w:tabs>
        <w:ind w:left="360" w:firstLine="2727"/>
      </w:pPr>
      <w:rPr>
        <w:position w:val="0"/>
      </w:rPr>
    </w:lvl>
    <w:lvl w:ilvl="4">
      <w:start w:val="1"/>
      <w:numFmt w:val="bullet"/>
      <w:lvlText w:val="o"/>
      <w:lvlJc w:val="left"/>
      <w:pPr>
        <w:tabs>
          <w:tab w:val="num" w:pos="360"/>
        </w:tabs>
        <w:ind w:left="360" w:firstLine="3447"/>
      </w:pPr>
      <w:rPr>
        <w:position w:val="0"/>
      </w:rPr>
    </w:lvl>
    <w:lvl w:ilvl="5">
      <w:start w:val="1"/>
      <w:numFmt w:val="bullet"/>
      <w:lvlText w:val="•"/>
      <w:lvlJc w:val="left"/>
      <w:pPr>
        <w:tabs>
          <w:tab w:val="num" w:pos="360"/>
        </w:tabs>
        <w:ind w:left="360" w:firstLine="4167"/>
      </w:pPr>
      <w:rPr>
        <w:position w:val="0"/>
      </w:rPr>
    </w:lvl>
    <w:lvl w:ilvl="6">
      <w:start w:val="1"/>
      <w:numFmt w:val="bullet"/>
      <w:lvlText w:val="•"/>
      <w:lvlJc w:val="left"/>
      <w:pPr>
        <w:tabs>
          <w:tab w:val="num" w:pos="360"/>
        </w:tabs>
        <w:ind w:left="360" w:firstLine="4887"/>
      </w:pPr>
      <w:rPr>
        <w:position w:val="0"/>
      </w:rPr>
    </w:lvl>
    <w:lvl w:ilvl="7">
      <w:start w:val="1"/>
      <w:numFmt w:val="bullet"/>
      <w:lvlText w:val="o"/>
      <w:lvlJc w:val="left"/>
      <w:pPr>
        <w:tabs>
          <w:tab w:val="num" w:pos="360"/>
        </w:tabs>
        <w:ind w:left="360" w:firstLine="5607"/>
      </w:pPr>
      <w:rPr>
        <w:position w:val="0"/>
      </w:rPr>
    </w:lvl>
    <w:lvl w:ilvl="8">
      <w:start w:val="1"/>
      <w:numFmt w:val="bullet"/>
      <w:lvlText w:val="•"/>
      <w:lvlJc w:val="left"/>
      <w:pPr>
        <w:tabs>
          <w:tab w:val="num" w:pos="360"/>
        </w:tabs>
        <w:ind w:left="360" w:firstLine="6327"/>
      </w:pPr>
      <w:rPr>
        <w:position w:val="0"/>
      </w:rPr>
    </w:lvl>
  </w:abstractNum>
  <w:abstractNum w:abstractNumId="15">
    <w:nsid w:val="0000001E"/>
    <w:multiLevelType w:val="multilevel"/>
    <w:tmpl w:val="894EE890"/>
    <w:lvl w:ilvl="0">
      <w:start w:val="1"/>
      <w:numFmt w:val="bullet"/>
      <w:pStyle w:val="ImportWordListStyleDefinition13"/>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6">
    <w:nsid w:val="00000020"/>
    <w:multiLevelType w:val="multilevel"/>
    <w:tmpl w:val="894EE892"/>
    <w:lvl w:ilvl="0">
      <w:start w:val="1"/>
      <w:numFmt w:val="bullet"/>
      <w:pStyle w:val="ImportWordListStyleDefinition2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7">
    <w:nsid w:val="00000022"/>
    <w:multiLevelType w:val="multilevel"/>
    <w:tmpl w:val="894EE894"/>
    <w:lvl w:ilvl="0">
      <w:start w:val="1"/>
      <w:numFmt w:val="bullet"/>
      <w:pStyle w:val="List21"/>
      <w:lvlText w:val="•"/>
      <w:lvlJc w:val="left"/>
      <w:pPr>
        <w:tabs>
          <w:tab w:val="num" w:pos="426"/>
        </w:tabs>
        <w:ind w:left="426" w:firstLine="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8">
    <w:nsid w:val="00000023"/>
    <w:multiLevelType w:val="multilevel"/>
    <w:tmpl w:val="894EE895"/>
    <w:lvl w:ilvl="0">
      <w:start w:val="1"/>
      <w:numFmt w:val="bullet"/>
      <w:pStyle w:val="ImportWordListStyleDefinition17"/>
      <w:lvlText w:val="•"/>
      <w:lvlJc w:val="left"/>
      <w:pPr>
        <w:tabs>
          <w:tab w:val="num" w:pos="360"/>
        </w:tabs>
        <w:ind w:left="360" w:firstLine="3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0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18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5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24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39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6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4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1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9">
    <w:nsid w:val="00000025"/>
    <w:multiLevelType w:val="multilevel"/>
    <w:tmpl w:val="894EE897"/>
    <w:lvl w:ilvl="0">
      <w:start w:val="1"/>
      <w:numFmt w:val="bullet"/>
      <w:pStyle w:val="ImportWordListStyleDefinition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20">
    <w:nsid w:val="07A45CAE"/>
    <w:multiLevelType w:val="hybridMultilevel"/>
    <w:tmpl w:val="1F602B86"/>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0A841B32"/>
    <w:multiLevelType w:val="hybridMultilevel"/>
    <w:tmpl w:val="726ADA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117858D0"/>
    <w:multiLevelType w:val="hybridMultilevel"/>
    <w:tmpl w:val="1F602B86"/>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12DC2FC2"/>
    <w:multiLevelType w:val="hybridMultilevel"/>
    <w:tmpl w:val="B24EFF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23954092"/>
    <w:multiLevelType w:val="hybridMultilevel"/>
    <w:tmpl w:val="FEA49838"/>
    <w:lvl w:ilvl="0">
      <w:start w:val="0"/>
      <w:numFmt w:val="bullet"/>
      <w:lvlText w:val="-"/>
      <w:lvlJc w:val="left"/>
      <w:pPr>
        <w:ind w:left="1080" w:hanging="360"/>
      </w:pPr>
      <w:rPr>
        <w:rFonts w:ascii="Arial" w:eastAsia="Calibri" w:hAnsi="Arial"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5">
    <w:nsid w:val="26AB3411"/>
    <w:multiLevelType w:val="hybridMultilevel"/>
    <w:tmpl w:val="691852CA"/>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32DE378D"/>
    <w:multiLevelType w:val="hybridMultilevel"/>
    <w:tmpl w:val="669255CA"/>
    <w:lvl w:ilvl="0">
      <w:start w:val="1"/>
      <w:numFmt w:val="bullet"/>
      <w:pStyle w:val="Bullet"/>
      <w:lvlText w:val=""/>
      <w:lvlJc w:val="left"/>
      <w:pPr>
        <w:ind w:left="363" w:hanging="360"/>
      </w:pPr>
      <w:rPr>
        <w:rFonts w:ascii="Symbol" w:hAnsi="Symbol" w:hint="default"/>
      </w:rPr>
    </w:lvl>
    <w:lvl w:ilvl="1">
      <w:start w:val="1"/>
      <w:numFmt w:val="bullet"/>
      <w:pStyle w:val="Bullet-indent"/>
      <w:lvlText w:val="o"/>
      <w:lvlJc w:val="left"/>
      <w:pPr>
        <w:ind w:left="1083" w:hanging="360"/>
      </w:pPr>
      <w:rPr>
        <w:rFonts w:ascii="Courier New" w:hAnsi="Courier New" w:cs="Courier New" w:hint="default"/>
      </w:rPr>
    </w:lvl>
    <w:lvl w:ilvl="2" w:tentative="1">
      <w:start w:val="1"/>
      <w:numFmt w:val="bullet"/>
      <w:lvlText w:val=""/>
      <w:lvlJc w:val="left"/>
      <w:pPr>
        <w:ind w:left="1803" w:hanging="360"/>
      </w:pPr>
      <w:rPr>
        <w:rFonts w:ascii="Wingdings" w:hAnsi="Wingdings" w:hint="default"/>
      </w:rPr>
    </w:lvl>
    <w:lvl w:ilvl="3" w:tentative="1">
      <w:start w:val="1"/>
      <w:numFmt w:val="bullet"/>
      <w:lvlText w:val=""/>
      <w:lvlJc w:val="left"/>
      <w:pPr>
        <w:ind w:left="2523" w:hanging="360"/>
      </w:pPr>
      <w:rPr>
        <w:rFonts w:ascii="Symbol" w:hAnsi="Symbol" w:hint="default"/>
      </w:rPr>
    </w:lvl>
    <w:lvl w:ilvl="4" w:tentative="1">
      <w:start w:val="1"/>
      <w:numFmt w:val="bullet"/>
      <w:lvlText w:val="o"/>
      <w:lvlJc w:val="left"/>
      <w:pPr>
        <w:ind w:left="3243" w:hanging="360"/>
      </w:pPr>
      <w:rPr>
        <w:rFonts w:ascii="Courier New" w:hAnsi="Courier New" w:cs="Courier New" w:hint="default"/>
      </w:rPr>
    </w:lvl>
    <w:lvl w:ilvl="5" w:tentative="1">
      <w:start w:val="1"/>
      <w:numFmt w:val="bullet"/>
      <w:lvlText w:val=""/>
      <w:lvlJc w:val="left"/>
      <w:pPr>
        <w:ind w:left="3963" w:hanging="360"/>
      </w:pPr>
      <w:rPr>
        <w:rFonts w:ascii="Wingdings" w:hAnsi="Wingdings" w:hint="default"/>
      </w:rPr>
    </w:lvl>
    <w:lvl w:ilvl="6" w:tentative="1">
      <w:start w:val="1"/>
      <w:numFmt w:val="bullet"/>
      <w:lvlText w:val=""/>
      <w:lvlJc w:val="left"/>
      <w:pPr>
        <w:ind w:left="4683" w:hanging="360"/>
      </w:pPr>
      <w:rPr>
        <w:rFonts w:ascii="Symbol" w:hAnsi="Symbol" w:hint="default"/>
      </w:rPr>
    </w:lvl>
    <w:lvl w:ilvl="7" w:tentative="1">
      <w:start w:val="1"/>
      <w:numFmt w:val="bullet"/>
      <w:lvlText w:val="o"/>
      <w:lvlJc w:val="left"/>
      <w:pPr>
        <w:ind w:left="5403" w:hanging="360"/>
      </w:pPr>
      <w:rPr>
        <w:rFonts w:ascii="Courier New" w:hAnsi="Courier New" w:cs="Courier New" w:hint="default"/>
      </w:rPr>
    </w:lvl>
    <w:lvl w:ilvl="8" w:tentative="1">
      <w:start w:val="1"/>
      <w:numFmt w:val="bullet"/>
      <w:lvlText w:val=""/>
      <w:lvlJc w:val="left"/>
      <w:pPr>
        <w:ind w:left="6123" w:hanging="360"/>
      </w:pPr>
      <w:rPr>
        <w:rFonts w:ascii="Wingdings" w:hAnsi="Wingdings" w:hint="default"/>
      </w:rPr>
    </w:lvl>
  </w:abstractNum>
  <w:abstractNum w:abstractNumId="27">
    <w:nsid w:val="39A65F14"/>
    <w:multiLevelType w:val="hybridMultilevel"/>
    <w:tmpl w:val="BB02CF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3BF139AF"/>
    <w:multiLevelType w:val="hybridMultilevel"/>
    <w:tmpl w:val="7A0C7B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3D7A414A"/>
    <w:multiLevelType w:val="hybridMultilevel"/>
    <w:tmpl w:val="FBE2A8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3DF34A72"/>
    <w:multiLevelType w:val="hybridMultilevel"/>
    <w:tmpl w:val="7BB2C1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41324E0E"/>
    <w:multiLevelType w:val="hybridMultilevel"/>
    <w:tmpl w:val="4C2EEEDE"/>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2">
    <w:nsid w:val="414E1378"/>
    <w:multiLevelType w:val="hybridMultilevel"/>
    <w:tmpl w:val="F0A8EE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420860A3"/>
    <w:multiLevelType w:val="hybridMultilevel"/>
    <w:tmpl w:val="2DF6A548"/>
    <w:lvl w:ilvl="0">
      <w:start w:val="1"/>
      <w:numFmt w:val="decimal"/>
      <w:pStyle w:val="Heading2-numbered"/>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4">
    <w:nsid w:val="4C6F7D32"/>
    <w:multiLevelType w:val="hybridMultilevel"/>
    <w:tmpl w:val="E17C132C"/>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570E7FD2"/>
    <w:multiLevelType w:val="hybridMultilevel"/>
    <w:tmpl w:val="E820C6DC"/>
    <w:lvl w:ilvl="0">
      <w:start w:val="1"/>
      <w:numFmt w:val="bullet"/>
      <w:lvlText w:val=""/>
      <w:lvlJc w:val="left"/>
      <w:pPr>
        <w:ind w:left="790" w:hanging="360"/>
      </w:pPr>
      <w:rPr>
        <w:rFonts w:ascii="Symbol" w:hAnsi="Symbol" w:hint="default"/>
      </w:rPr>
    </w:lvl>
    <w:lvl w:ilvl="1" w:tentative="1">
      <w:start w:val="1"/>
      <w:numFmt w:val="bullet"/>
      <w:lvlText w:val="o"/>
      <w:lvlJc w:val="left"/>
      <w:pPr>
        <w:ind w:left="1510" w:hanging="360"/>
      </w:pPr>
      <w:rPr>
        <w:rFonts w:ascii="Courier New" w:hAnsi="Courier New" w:cs="Courier New" w:hint="default"/>
      </w:rPr>
    </w:lvl>
    <w:lvl w:ilvl="2" w:tentative="1">
      <w:start w:val="1"/>
      <w:numFmt w:val="bullet"/>
      <w:lvlText w:val=""/>
      <w:lvlJc w:val="left"/>
      <w:pPr>
        <w:ind w:left="2230" w:hanging="360"/>
      </w:pPr>
      <w:rPr>
        <w:rFonts w:ascii="Wingdings" w:hAnsi="Wingdings" w:hint="default"/>
      </w:rPr>
    </w:lvl>
    <w:lvl w:ilvl="3" w:tentative="1">
      <w:start w:val="1"/>
      <w:numFmt w:val="bullet"/>
      <w:lvlText w:val=""/>
      <w:lvlJc w:val="left"/>
      <w:pPr>
        <w:ind w:left="2950" w:hanging="360"/>
      </w:pPr>
      <w:rPr>
        <w:rFonts w:ascii="Symbol" w:hAnsi="Symbol" w:hint="default"/>
      </w:rPr>
    </w:lvl>
    <w:lvl w:ilvl="4" w:tentative="1">
      <w:start w:val="1"/>
      <w:numFmt w:val="bullet"/>
      <w:lvlText w:val="o"/>
      <w:lvlJc w:val="left"/>
      <w:pPr>
        <w:ind w:left="3670" w:hanging="360"/>
      </w:pPr>
      <w:rPr>
        <w:rFonts w:ascii="Courier New" w:hAnsi="Courier New" w:cs="Courier New" w:hint="default"/>
      </w:rPr>
    </w:lvl>
    <w:lvl w:ilvl="5" w:tentative="1">
      <w:start w:val="1"/>
      <w:numFmt w:val="bullet"/>
      <w:lvlText w:val=""/>
      <w:lvlJc w:val="left"/>
      <w:pPr>
        <w:ind w:left="4390" w:hanging="360"/>
      </w:pPr>
      <w:rPr>
        <w:rFonts w:ascii="Wingdings" w:hAnsi="Wingdings" w:hint="default"/>
      </w:rPr>
    </w:lvl>
    <w:lvl w:ilvl="6" w:tentative="1">
      <w:start w:val="1"/>
      <w:numFmt w:val="bullet"/>
      <w:lvlText w:val=""/>
      <w:lvlJc w:val="left"/>
      <w:pPr>
        <w:ind w:left="5110" w:hanging="360"/>
      </w:pPr>
      <w:rPr>
        <w:rFonts w:ascii="Symbol" w:hAnsi="Symbol" w:hint="default"/>
      </w:rPr>
    </w:lvl>
    <w:lvl w:ilvl="7" w:tentative="1">
      <w:start w:val="1"/>
      <w:numFmt w:val="bullet"/>
      <w:lvlText w:val="o"/>
      <w:lvlJc w:val="left"/>
      <w:pPr>
        <w:ind w:left="5830" w:hanging="360"/>
      </w:pPr>
      <w:rPr>
        <w:rFonts w:ascii="Courier New" w:hAnsi="Courier New" w:cs="Courier New" w:hint="default"/>
      </w:rPr>
    </w:lvl>
    <w:lvl w:ilvl="8" w:tentative="1">
      <w:start w:val="1"/>
      <w:numFmt w:val="bullet"/>
      <w:lvlText w:val=""/>
      <w:lvlJc w:val="left"/>
      <w:pPr>
        <w:ind w:left="6550" w:hanging="360"/>
      </w:pPr>
      <w:rPr>
        <w:rFonts w:ascii="Wingdings" w:hAnsi="Wingdings" w:hint="default"/>
      </w:rPr>
    </w:lvl>
  </w:abstractNum>
  <w:abstractNum w:abstractNumId="36">
    <w:nsid w:val="58F509F0"/>
    <w:multiLevelType w:val="hybridMultilevel"/>
    <w:tmpl w:val="C108D4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61A26095"/>
    <w:multiLevelType w:val="hybridMultilevel"/>
    <w:tmpl w:val="83E67E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63F759CD"/>
    <w:multiLevelType w:val="hybridMultilevel"/>
    <w:tmpl w:val="6FF22088"/>
    <w:lvl w:ilvl="0">
      <w:start w:val="1"/>
      <w:numFmt w:val="decimal"/>
      <w:pStyle w:val="Heading4"/>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9">
    <w:nsid w:val="65F6591F"/>
    <w:multiLevelType w:val="hybridMultilevel"/>
    <w:tmpl w:val="257C8F6E"/>
    <w:lvl w:ilvl="0">
      <w:start w:val="1"/>
      <w:numFmt w:val="bullet"/>
      <w:lvlText w:val=""/>
      <w:lvlJc w:val="left"/>
      <w:pPr>
        <w:ind w:left="1080" w:hanging="360"/>
      </w:pPr>
      <w:rPr>
        <w:rFonts w:ascii="Symbol" w:hAnsi="Symbol" w:hint="default"/>
        <w:color w:val="auto"/>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0">
    <w:nsid w:val="68932B47"/>
    <w:multiLevelType w:val="hybridMultilevel"/>
    <w:tmpl w:val="D062C7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6C553D47"/>
    <w:multiLevelType w:val="hybridMultilevel"/>
    <w:tmpl w:val="FDAA2C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6F9C07D7"/>
    <w:multiLevelType w:val="hybridMultilevel"/>
    <w:tmpl w:val="9544D1E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nsid w:val="712C6B77"/>
    <w:multiLevelType w:val="hybridMultilevel"/>
    <w:tmpl w:val="808278F0"/>
    <w:lvl w:ilvl="0">
      <w:start w:val="1"/>
      <w:numFmt w:val="decimal"/>
      <w:pStyle w:val="Heading3-numbered"/>
      <w:lvlText w:val="%1."/>
      <w:lvlJc w:val="left"/>
      <w:pPr>
        <w:ind w:left="360" w:hanging="360"/>
      </w:pPr>
      <w:rPr>
        <w:b/>
        <w:i w:val="0"/>
        <w:color w:val="auto"/>
        <w:sz w:val="28"/>
        <w:szCs w:val="28"/>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26"/>
  </w:num>
  <w:num w:numId="2">
    <w:abstractNumId w:val="33"/>
  </w:num>
  <w:num w:numId="3">
    <w:abstractNumId w:val="43"/>
  </w:num>
  <w:num w:numId="4">
    <w:abstractNumId w:val="38"/>
  </w:num>
  <w:num w:numId="5">
    <w:abstractNumId w:val="10"/>
  </w:num>
  <w:num w:numId="6">
    <w:abstractNumId w:val="11"/>
  </w:num>
  <w:num w:numId="7">
    <w:abstractNumId w:val="13"/>
  </w:num>
  <w:num w:numId="8">
    <w:abstractNumId w:val="14"/>
  </w:num>
  <w:num w:numId="9">
    <w:abstractNumId w:val="15"/>
  </w:num>
  <w:num w:numId="10">
    <w:abstractNumId w:val="16"/>
  </w:num>
  <w:num w:numId="11">
    <w:abstractNumId w:val="18"/>
  </w:num>
  <w:num w:numId="12">
    <w:abstractNumId w:val="19"/>
  </w:num>
  <w:num w:numId="13">
    <w:abstractNumId w:val="17"/>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0"/>
  </w:num>
  <w:num w:numId="26">
    <w:abstractNumId w:val="28"/>
  </w:num>
  <w:num w:numId="27">
    <w:abstractNumId w:val="21"/>
  </w:num>
  <w:num w:numId="28">
    <w:abstractNumId w:val="21"/>
  </w:num>
  <w:num w:numId="29">
    <w:abstractNumId w:val="20"/>
  </w:num>
  <w:num w:numId="30">
    <w:abstractNumId w:val="24"/>
  </w:num>
  <w:num w:numId="31">
    <w:abstractNumId w:val="25"/>
  </w:num>
  <w:num w:numId="32">
    <w:abstractNumId w:val="31"/>
  </w:num>
  <w:num w:numId="33">
    <w:abstractNumId w:val="22"/>
  </w:num>
  <w:num w:numId="34">
    <w:abstractNumId w:val="27"/>
  </w:num>
  <w:num w:numId="35">
    <w:abstractNumId w:val="34"/>
  </w:num>
  <w:num w:numId="36">
    <w:abstractNumId w:val="39"/>
  </w:num>
  <w:num w:numId="37">
    <w:abstractNumId w:val="41"/>
  </w:num>
  <w:num w:numId="38">
    <w:abstractNumId w:val="36"/>
  </w:num>
  <w:num w:numId="39">
    <w:abstractNumId w:val="37"/>
  </w:num>
  <w:num w:numId="40">
    <w:abstractNumId w:val="35"/>
  </w:num>
  <w:num w:numId="41">
    <w:abstractNumId w:val="42"/>
  </w:num>
  <w:num w:numId="42">
    <w:abstractNumId w:val="40"/>
  </w:num>
  <w:num w:numId="43">
    <w:abstractNumId w:val="29"/>
  </w:num>
  <w:num w:numId="44">
    <w:abstractNumId w:val="32"/>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embedSystemFonts/>
  <w:proofState w:spelling="clean" w:grammar="clean"/>
  <w:attachedTemplate r:id="rId1"/>
  <w:trackRevisions/>
  <w:defaultTabStop w:val="720"/>
  <w:drawingGridHorizontalSpacing w:val="12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dispDef m:val="0"/>
    <m:wrapRight/>
    <m:naryLim m:val="subSup"/>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iPriority="2"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2"/>
    <w:qFormat/>
    <w:rsid w:val="00956C1A"/>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uiPriority w:val="9"/>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uiPriority w:val="9"/>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uiPriority w:val="9"/>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45FB"/>
    <w:rPr>
      <w:rFonts w:eastAsia="Times New Roman" w:cs="Helvetica-Light"/>
      <w:b/>
      <w:bCs/>
      <w:sz w:val="40"/>
      <w:szCs w:val="28"/>
    </w:rPr>
  </w:style>
  <w:style w:type="character" w:customStyle="1" w:styleId="Heading2Char">
    <w:name w:val="Heading 2 Char"/>
    <w:basedOn w:val="DefaultParagraphFont"/>
    <w:link w:val="Heading2"/>
    <w:uiPriority w:val="9"/>
    <w:rsid w:val="002345FB"/>
    <w:rPr>
      <w:rFonts w:eastAsia="Times New Roman" w:cs="Helvetica-Light"/>
      <w:b/>
      <w:bCs/>
      <w:color w:val="000000"/>
      <w:sz w:val="32"/>
      <w:szCs w:val="26"/>
    </w:rPr>
  </w:style>
  <w:style w:type="character" w:customStyle="1" w:styleId="Heading3Char">
    <w:name w:val="Heading 3 Char"/>
    <w:basedOn w:val="DefaultParagraphFont"/>
    <w:link w:val="Heading3"/>
    <w:uiPriority w:val="9"/>
    <w:rsid w:val="002345FB"/>
    <w:rPr>
      <w:rFonts w:eastAsia="Times New Roman"/>
      <w:b/>
      <w:bCs/>
      <w:i/>
      <w:sz w:val="28"/>
      <w:szCs w:val="28"/>
      <w:lang w:eastAsia="en-US"/>
    </w:rPr>
  </w:style>
  <w:style w:type="character" w:customStyle="1" w:styleId="Heading4Char">
    <w:name w:val="Heading 4 Char"/>
    <w:basedOn w:val="DefaultParagraphFont"/>
    <w:link w:val="Heading4"/>
    <w:rsid w:val="002345FB"/>
    <w:rPr>
      <w:rFonts w:eastAsia="Times New Roman" w:cs="Arial"/>
      <w:b/>
      <w:bCs/>
      <w:sz w:val="22"/>
      <w:szCs w:val="22"/>
    </w:rPr>
  </w:style>
  <w:style w:type="character" w:customStyle="1" w:styleId="Heading5Char">
    <w:name w:val="Heading 5 Char"/>
    <w:basedOn w:val="DefaultParagraphFont"/>
    <w:link w:val="Heading5"/>
    <w:semiHidden/>
    <w:rsid w:val="0001341B"/>
    <w:rPr>
      <w:rFonts w:eastAsia="Times New Roman" w:cs="Arial"/>
      <w:b/>
      <w:bCs/>
      <w:i/>
      <w:iCs/>
      <w:sz w:val="26"/>
      <w:szCs w:val="26"/>
    </w:rPr>
  </w:style>
  <w:style w:type="character" w:customStyle="1" w:styleId="Heading6Char">
    <w:name w:val="Heading 6 Char"/>
    <w:basedOn w:val="DefaultParagraphFont"/>
    <w:link w:val="Heading6"/>
    <w:semiHidden/>
    <w:rsid w:val="0001341B"/>
    <w:rPr>
      <w:rFonts w:eastAsia="Times New Roman"/>
      <w:b/>
      <w:sz w:val="24"/>
      <w:szCs w:val="20"/>
      <w:shd w:val="pct10" w:color="auto" w:fill="auto"/>
    </w:rPr>
  </w:style>
  <w:style w:type="character" w:customStyle="1" w:styleId="Heading7Char">
    <w:name w:val="Heading 7 Char"/>
    <w:basedOn w:val="DefaultParagraphFont"/>
    <w:link w:val="Heading7"/>
    <w:semiHidden/>
    <w:rsid w:val="0001341B"/>
    <w:rPr>
      <w:rFonts w:eastAsia="Times New Roman"/>
      <w:b/>
      <w:sz w:val="24"/>
      <w:szCs w:val="20"/>
    </w:rPr>
  </w:style>
  <w:style w:type="character" w:customStyle="1" w:styleId="Heading8Char">
    <w:name w:val="Heading 8 Char"/>
    <w:basedOn w:val="DefaultParagraphFont"/>
    <w:link w:val="Heading8"/>
    <w:semiHidden/>
    <w:rsid w:val="0001341B"/>
    <w:rPr>
      <w:rFonts w:ascii="Times New Roman" w:eastAsia="Times New Roman" w:hAnsi="Times New Roman"/>
      <w:i/>
      <w:iCs/>
      <w:sz w:val="24"/>
      <w:szCs w:val="24"/>
    </w:rPr>
  </w:style>
  <w:style w:type="character" w:customStyle="1" w:styleId="Heading9Char">
    <w:name w:val="Heading 9 Char"/>
    <w:basedOn w:val="DefaultParagraphFont"/>
    <w:link w:val="Heading9"/>
    <w:semiHidden/>
    <w:rsid w:val="0001341B"/>
    <w:rPr>
      <w:rFonts w:eastAsia="Times New Roman"/>
      <w:b/>
      <w:i/>
      <w:snapToGrid w:val="0"/>
      <w:sz w:val="24"/>
      <w:szCs w:val="20"/>
      <w:lang w:eastAsia="en-US"/>
    </w:rPr>
  </w:style>
  <w:style w:type="paragraph" w:styleId="Header">
    <w:name w:val="header"/>
    <w:basedOn w:val="Normal"/>
    <w:link w:val="HeaderChar"/>
    <w:rsid w:val="00846AEA"/>
    <w:pPr>
      <w:tabs>
        <w:tab w:val="center" w:pos="4320"/>
        <w:tab w:val="right" w:pos="8640"/>
      </w:tabs>
      <w:spacing w:after="0"/>
    </w:pPr>
    <w:rPr>
      <w:color w:val="FFFFFF"/>
      <w:sz w:val="22"/>
      <w:szCs w:val="22"/>
    </w:rPr>
  </w:style>
  <w:style w:type="character" w:customStyle="1" w:styleId="HeaderChar">
    <w:name w:val="Header Char"/>
    <w:basedOn w:val="DefaultParagraphFont"/>
    <w:link w:val="Header"/>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basedOn w:val="DefaultParagraphFont"/>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basedOn w:val="DefaultParagraphFont"/>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basedOn w:val="DefaultParagraphFont"/>
    <w:link w:val="BodyText2"/>
    <w:semiHidden/>
    <w:rsid w:val="0001341B"/>
    <w:rPr>
      <w:rFonts w:eastAsia="Calibri" w:cs="Helvetica-Light"/>
      <w:color w:val="000000"/>
      <w:sz w:val="24"/>
      <w:szCs w:val="24"/>
      <w:lang w:eastAsia="en-US"/>
    </w:rPr>
  </w:style>
  <w:style w:type="character" w:styleId="PageNumber">
    <w:name w:val="page number"/>
    <w:basedOn w:val="DefaultParagraphFont"/>
    <w:uiPriority w:val="2"/>
    <w:rsid w:val="000701AB"/>
    <w:rPr>
      <w:rFonts w:cs="Times New Roman"/>
    </w:rPr>
  </w:style>
  <w:style w:type="table" w:styleId="TableGrid">
    <w:name w:val="Table Grid"/>
    <w:basedOn w:val="TableNormal"/>
    <w:uiPriority w:val="5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99"/>
    <w:rsid w:val="00EA41E9"/>
    <w:pPr>
      <w:spacing w:after="0"/>
    </w:pPr>
    <w:rPr>
      <w:sz w:val="20"/>
      <w:szCs w:val="20"/>
    </w:rPr>
  </w:style>
  <w:style w:type="character" w:customStyle="1" w:styleId="FootnoteTextChar">
    <w:name w:val="Footnote Text Char"/>
    <w:basedOn w:val="DefaultParagraphFont"/>
    <w:link w:val="FootnoteText"/>
    <w:uiPriority w:val="99"/>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basedOn w:val="DefaultParagraphFont"/>
    <w:uiPriority w:val="99"/>
    <w:unhideWhenUsed/>
    <w:rsid w:val="006C4F7E"/>
    <w:rPr>
      <w:rFonts w:cs="Arial"/>
      <w:color w:val="0000FF"/>
      <w:u w:val="single"/>
    </w:rPr>
  </w:style>
  <w:style w:type="paragraph" w:styleId="TOC4">
    <w:name w:val="toc 4"/>
    <w:basedOn w:val="Normal"/>
    <w:next w:val="Normal"/>
    <w:autoRedefine/>
    <w:uiPriority w:val="39"/>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basedOn w:val="Heading2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basedOn w:val="DefaultParagraphFont"/>
    <w:uiPriority w:val="99"/>
    <w:rsid w:val="00AB4059"/>
    <w:rPr>
      <w:vertAlign w:val="superscript"/>
    </w:rPr>
  </w:style>
  <w:style w:type="character" w:styleId="FollowedHyperlink">
    <w:name w:val="FollowedHyperlink"/>
    <w:basedOn w:val="DefaultParagraphFont"/>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basedOn w:val="DefaultParagraphFont"/>
    <w:link w:val="BodyTextIndent"/>
    <w:rsid w:val="009028CB"/>
    <w:rPr>
      <w:rFonts w:eastAsia="Times New Roman"/>
      <w:sz w:val="24"/>
      <w:szCs w:val="20"/>
    </w:rPr>
  </w:style>
  <w:style w:type="character" w:customStyle="1" w:styleId="CommentTextChar">
    <w:name w:val="Comment Text Char"/>
    <w:basedOn w:val="DefaultParagraphFont"/>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basedOn w:val="DefaultParagraphFont"/>
    <w:uiPriority w:val="99"/>
    <w:semiHidden/>
    <w:rsid w:val="00AB4059"/>
    <w:rPr>
      <w:rFonts w:ascii="Arial" w:eastAsia="Calibri" w:hAnsi="Arial" w:cs="Helvetica-Light"/>
      <w:color w:val="000000"/>
      <w:lang w:eastAsia="en-US"/>
    </w:rPr>
  </w:style>
  <w:style w:type="character" w:customStyle="1" w:styleId="CommentSubjectChar1">
    <w:name w:val="Comment Subject Char1"/>
    <w:basedOn w:val="CommentText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basedOn w:val="DefaultParagraphFont"/>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basedOn w:val="BodyTextIndent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basedOn w:val="DefaultParagraphFont"/>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basedOn w:val="DefaultParagraphFont"/>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basedOn w:val="DefaultParagraphFont"/>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basedOn w:val="DefaultParagraphFont"/>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unhideWhenUsed/>
    <w:rsid w:val="00AB4059"/>
    <w:pPr>
      <w:ind w:left="960"/>
    </w:pPr>
  </w:style>
  <w:style w:type="paragraph" w:styleId="TOC6">
    <w:name w:val="toc 6"/>
    <w:basedOn w:val="Normal"/>
    <w:next w:val="Normal"/>
    <w:autoRedefine/>
    <w:uiPriority w:val="39"/>
    <w:unhideWhenUsed/>
    <w:rsid w:val="00AB4059"/>
    <w:pPr>
      <w:ind w:left="1200"/>
    </w:pPr>
  </w:style>
  <w:style w:type="paragraph" w:styleId="TOC7">
    <w:name w:val="toc 7"/>
    <w:basedOn w:val="Normal"/>
    <w:next w:val="Normal"/>
    <w:autoRedefine/>
    <w:uiPriority w:val="39"/>
    <w:unhideWhenUsed/>
    <w:rsid w:val="00AB4059"/>
    <w:pPr>
      <w:ind w:left="1440"/>
    </w:pPr>
  </w:style>
  <w:style w:type="paragraph" w:styleId="TOC8">
    <w:name w:val="toc 8"/>
    <w:basedOn w:val="Normal"/>
    <w:next w:val="Normal"/>
    <w:autoRedefine/>
    <w:uiPriority w:val="39"/>
    <w:unhideWhenUsed/>
    <w:rsid w:val="00AB4059"/>
    <w:pPr>
      <w:ind w:left="1680"/>
    </w:pPr>
  </w:style>
  <w:style w:type="paragraph" w:styleId="TOC9">
    <w:name w:val="toc 9"/>
    <w:basedOn w:val="Normal"/>
    <w:next w:val="Normal"/>
    <w:autoRedefine/>
    <w:uiPriority w:val="39"/>
    <w:unhideWhenUsed/>
    <w:rsid w:val="00AB4059"/>
    <w:pPr>
      <w:ind w:left="1920"/>
    </w:pPr>
  </w:style>
  <w:style w:type="character" w:styleId="EndnoteReference">
    <w:name w:val="endnote reference"/>
    <w:basedOn w:val="DefaultParagraphFont"/>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basedOn w:val="DefaultParagraphFont"/>
    <w:link w:val="BodyText"/>
    <w:rsid w:val="009028CB"/>
    <w:rPr>
      <w:rFonts w:eastAsia="Times New Roman" w:cs="Helvetica-Light"/>
      <w:sz w:val="24"/>
      <w:szCs w:val="24"/>
    </w:rPr>
  </w:style>
  <w:style w:type="paragraph" w:styleId="TOCHeading">
    <w:name w:val="TOC Heading"/>
    <w:basedOn w:val="Heading1"/>
    <w:next w:val="Normal"/>
    <w:uiPriority w:val="39"/>
    <w:unhideWhenUsed/>
    <w:qFormat/>
    <w:rsid w:val="00594228"/>
    <w:pPr>
      <w:keepLines/>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customStyle="1" w:styleId="BTLSnormal">
    <w:name w:val="BTLS normal"/>
    <w:basedOn w:val="Normal"/>
    <w:link w:val="BTLSnormalChar"/>
    <w:qFormat/>
    <w:rsid w:val="00EB1E4E"/>
    <w:pPr>
      <w:tabs>
        <w:tab w:val="left" w:pos="9540"/>
        <w:tab w:val="left" w:pos="9720"/>
      </w:tabs>
      <w:autoSpaceDE/>
      <w:autoSpaceDN/>
      <w:adjustRightInd/>
      <w:spacing w:line="276" w:lineRule="auto"/>
    </w:pPr>
    <w:rPr>
      <w:rFonts w:ascii="Calibri" w:hAnsi="Calibri" w:cs="Times New Roman"/>
      <w:color w:val="auto"/>
      <w:szCs w:val="22"/>
      <w:lang w:eastAsia="en-GB"/>
    </w:rPr>
  </w:style>
  <w:style w:type="character" w:customStyle="1" w:styleId="BTLSnormalChar">
    <w:name w:val="BTLS normal Char"/>
    <w:link w:val="BTLSnormal"/>
    <w:rsid w:val="00EB1E4E"/>
    <w:rPr>
      <w:rFonts w:ascii="Calibri" w:eastAsia="Calibri" w:hAnsi="Calibri"/>
      <w:sz w:val="24"/>
      <w:szCs w:val="22"/>
    </w:rPr>
  </w:style>
  <w:style w:type="paragraph" w:styleId="NormalWeb">
    <w:name w:val="Normal (Web)"/>
    <w:basedOn w:val="Normal"/>
    <w:uiPriority w:val="99"/>
    <w:unhideWhenUsed/>
    <w:rsid w:val="000A3809"/>
    <w:pPr>
      <w:autoSpaceDE/>
      <w:autoSpaceDN/>
      <w:adjustRightInd/>
      <w:spacing w:before="100" w:beforeAutospacing="1" w:after="240"/>
      <w:jc w:val="left"/>
    </w:pPr>
    <w:rPr>
      <w:rFonts w:ascii="Times New Roman" w:hAnsi="Times New Roman" w:eastAsiaTheme="minorHAnsi" w:cs="Times New Roman"/>
      <w:color w:val="auto"/>
      <w:lang w:eastAsia="en-GB"/>
    </w:rPr>
  </w:style>
  <w:style w:type="character" w:styleId="CommentReference">
    <w:name w:val="annotation reference"/>
    <w:basedOn w:val="DefaultParagraphFont"/>
    <w:uiPriority w:val="99"/>
    <w:rsid w:val="0054686B"/>
    <w:rPr>
      <w:sz w:val="16"/>
      <w:szCs w:val="16"/>
    </w:rPr>
  </w:style>
  <w:style w:type="paragraph" w:styleId="CommentSubject">
    <w:name w:val="annotation subject"/>
    <w:basedOn w:val="CommentText"/>
    <w:next w:val="CommentText"/>
    <w:link w:val="CommentSubjectChar"/>
    <w:uiPriority w:val="99"/>
    <w:semiHidden/>
    <w:unhideWhenUsed/>
    <w:rsid w:val="0054686B"/>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uiPriority w:val="99"/>
    <w:semiHidden/>
    <w:rsid w:val="0054686B"/>
    <w:rPr>
      <w:rFonts w:eastAsia="Calibri" w:cs="Helvetica-Light"/>
      <w:b/>
      <w:bCs/>
      <w:color w:val="000000"/>
      <w:sz w:val="20"/>
      <w:szCs w:val="20"/>
      <w:lang w:eastAsia="en-US"/>
    </w:rPr>
  </w:style>
  <w:style w:type="paragraph" w:styleId="BalloonText">
    <w:name w:val="Balloon Text"/>
    <w:basedOn w:val="Normal"/>
    <w:link w:val="BalloonTextChar"/>
    <w:uiPriority w:val="99"/>
    <w:semiHidden/>
    <w:unhideWhenUsed/>
    <w:rsid w:val="0054686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86B"/>
    <w:rPr>
      <w:rFonts w:ascii="Segoe UI" w:eastAsia="Calibri" w:hAnsi="Segoe UI" w:cs="Segoe UI"/>
      <w:color w:val="000000"/>
      <w:sz w:val="18"/>
      <w:szCs w:val="18"/>
      <w:lang w:eastAsia="en-US"/>
    </w:rPr>
  </w:style>
  <w:style w:type="paragraph" w:customStyle="1" w:styleId="Default">
    <w:name w:val="Default"/>
    <w:rsid w:val="0037393E"/>
    <w:pPr>
      <w:autoSpaceDE w:val="0"/>
      <w:autoSpaceDN w:val="0"/>
      <w:adjustRightInd w:val="0"/>
    </w:pPr>
    <w:rPr>
      <w:rFonts w:eastAsiaTheme="minorHAnsi" w:cs="Arial"/>
      <w:color w:val="000000"/>
      <w:sz w:val="24"/>
      <w:szCs w:val="24"/>
      <w:lang w:eastAsia="en-US"/>
    </w:rPr>
  </w:style>
  <w:style w:type="character" w:customStyle="1" w:styleId="legds2">
    <w:name w:val="legds2"/>
    <w:basedOn w:val="DefaultParagraphFont"/>
    <w:rsid w:val="0037393E"/>
    <w:rPr>
      <w:vanish w:val="0"/>
      <w:webHidden w:val="0"/>
      <w:specVanish w:val="0"/>
    </w:rPr>
  </w:style>
  <w:style w:type="character" w:customStyle="1" w:styleId="legextentrestriction7">
    <w:name w:val="legextentrestriction7"/>
    <w:basedOn w:val="DefaultParagraphFont"/>
    <w:rsid w:val="0037393E"/>
    <w:rPr>
      <w:b/>
      <w:bCs/>
      <w:i w:val="0"/>
      <w:iCs w:val="0"/>
      <w:vanish/>
      <w:webHidden w:val="0"/>
      <w:color w:val="FFFFFF"/>
      <w:sz w:val="22"/>
      <w:szCs w:val="22"/>
      <w:shd w:val="clear" w:color="auto" w:fill="660066"/>
      <w:specVanish w:val="0"/>
    </w:rPr>
  </w:style>
  <w:style w:type="paragraph" w:customStyle="1" w:styleId="legclearfix2">
    <w:name w:val="legclearfix2"/>
    <w:basedOn w:val="Normal"/>
    <w:rsid w:val="0037393E"/>
    <w:pPr>
      <w:shd w:val="clear" w:color="auto" w:fill="FFFFFF"/>
      <w:autoSpaceDE/>
      <w:autoSpaceDN/>
      <w:adjustRightInd/>
      <w:spacing w:line="360" w:lineRule="atLeast"/>
      <w:jc w:val="left"/>
    </w:pPr>
    <w:rPr>
      <w:rFonts w:ascii="Times New Roman" w:eastAsia="Times New Roman" w:hAnsi="Times New Roman" w:cs="Times New Roman"/>
      <w:sz w:val="19"/>
      <w:szCs w:val="19"/>
      <w:lang w:eastAsia="en-GB"/>
    </w:rPr>
  </w:style>
  <w:style w:type="character" w:customStyle="1" w:styleId="legchangedelimiter2">
    <w:name w:val="legchangedelimiter2"/>
    <w:basedOn w:val="DefaultParagraphFont"/>
    <w:rsid w:val="0037393E"/>
    <w:rPr>
      <w:b/>
      <w:bCs/>
      <w:i w:val="0"/>
      <w:iCs w:val="0"/>
      <w:color w:val="000000"/>
      <w:sz w:val="34"/>
      <w:szCs w:val="34"/>
    </w:rPr>
  </w:style>
  <w:style w:type="character" w:customStyle="1" w:styleId="legaddition5">
    <w:name w:val="legaddition5"/>
    <w:basedOn w:val="DefaultParagraphFont"/>
    <w:rsid w:val="0037393E"/>
  </w:style>
  <w:style w:type="character" w:styleId="Strong">
    <w:name w:val="Strong"/>
    <w:basedOn w:val="DefaultParagraphFont"/>
    <w:uiPriority w:val="22"/>
    <w:qFormat/>
    <w:rsid w:val="0037393E"/>
    <w:rPr>
      <w:b/>
      <w:bCs/>
    </w:rPr>
  </w:style>
  <w:style w:type="paragraph" w:styleId="NoSpacing">
    <w:name w:val="No Spacing"/>
    <w:uiPriority w:val="1"/>
    <w:qFormat/>
    <w:rsid w:val="00EB00CD"/>
    <w:rPr>
      <w:rFonts w:eastAsiaTheme="minorHAnsi" w:cstheme="minorBidi"/>
      <w:sz w:val="24"/>
      <w:szCs w:val="22"/>
      <w:lang w:eastAsia="en-US"/>
    </w:rPr>
  </w:style>
  <w:style w:type="paragraph" w:customStyle="1" w:styleId="Body1">
    <w:name w:val="Body 1"/>
    <w:rsid w:val="00EB00CD"/>
    <w:pPr>
      <w:spacing w:after="200" w:line="276" w:lineRule="auto"/>
      <w:outlineLvl w:val="0"/>
    </w:pPr>
    <w:rPr>
      <w:rFonts w:eastAsia="Arial Unicode MS"/>
      <w:color w:val="000000"/>
      <w:sz w:val="24"/>
      <w:u w:color="000000"/>
    </w:rPr>
  </w:style>
  <w:style w:type="paragraph" w:customStyle="1" w:styleId="ImportWordListStyleDefinition30">
    <w:name w:val="Import Word List Style Definition 30"/>
    <w:rsid w:val="00EB00CD"/>
    <w:pPr>
      <w:numPr>
        <w:numId w:val="5"/>
      </w:numPr>
    </w:pPr>
    <w:rPr>
      <w:rFonts w:ascii="Times New Roman" w:eastAsia="Times New Roman" w:hAnsi="Times New Roman"/>
    </w:rPr>
  </w:style>
  <w:style w:type="paragraph" w:customStyle="1" w:styleId="ImportWordListStyleDefinition19">
    <w:name w:val="Import Word List Style Definition 19"/>
    <w:rsid w:val="00EB00CD"/>
    <w:pPr>
      <w:numPr>
        <w:numId w:val="6"/>
      </w:numPr>
    </w:pPr>
    <w:rPr>
      <w:rFonts w:ascii="Times New Roman" w:eastAsia="Times New Roman" w:hAnsi="Times New Roman"/>
    </w:rPr>
  </w:style>
  <w:style w:type="paragraph" w:customStyle="1" w:styleId="ImportWordListStyleDefinition1">
    <w:name w:val="Import Word List Style Definition 1"/>
    <w:rsid w:val="00EB00CD"/>
    <w:pPr>
      <w:numPr>
        <w:numId w:val="7"/>
      </w:numPr>
    </w:pPr>
    <w:rPr>
      <w:rFonts w:ascii="Times New Roman" w:eastAsia="Times New Roman" w:hAnsi="Times New Roman"/>
    </w:rPr>
  </w:style>
  <w:style w:type="paragraph" w:customStyle="1" w:styleId="List1">
    <w:name w:val="List 1"/>
    <w:basedOn w:val="ImportWordListStyleDefinition1"/>
    <w:semiHidden/>
    <w:rsid w:val="00EB00CD"/>
    <w:pPr>
      <w:numPr>
        <w:numId w:val="8"/>
      </w:numPr>
    </w:pPr>
  </w:style>
  <w:style w:type="paragraph" w:customStyle="1" w:styleId="ImportWordListStyleDefinition13">
    <w:name w:val="Import Word List Style Definition 13"/>
    <w:rsid w:val="00EB00CD"/>
    <w:pPr>
      <w:numPr>
        <w:numId w:val="9"/>
      </w:numPr>
    </w:pPr>
    <w:rPr>
      <w:rFonts w:ascii="Times New Roman" w:eastAsia="Times New Roman" w:hAnsi="Times New Roman"/>
    </w:rPr>
  </w:style>
  <w:style w:type="paragraph" w:customStyle="1" w:styleId="ImportWordListStyleDefinition25">
    <w:name w:val="Import Word List Style Definition 25"/>
    <w:rsid w:val="00EB00CD"/>
    <w:pPr>
      <w:numPr>
        <w:numId w:val="10"/>
      </w:numPr>
    </w:pPr>
    <w:rPr>
      <w:rFonts w:ascii="Times New Roman" w:eastAsia="Times New Roman" w:hAnsi="Times New Roman"/>
    </w:rPr>
  </w:style>
  <w:style w:type="paragraph" w:customStyle="1" w:styleId="ImportWordListStyleDefinition17">
    <w:name w:val="Import Word List Style Definition 17"/>
    <w:rsid w:val="00EB00CD"/>
    <w:pPr>
      <w:numPr>
        <w:numId w:val="11"/>
      </w:numPr>
    </w:pPr>
    <w:rPr>
      <w:rFonts w:ascii="Times New Roman" w:eastAsia="Times New Roman" w:hAnsi="Times New Roman"/>
    </w:rPr>
  </w:style>
  <w:style w:type="paragraph" w:customStyle="1" w:styleId="ImportWordListStyleDefinition5">
    <w:name w:val="Import Word List Style Definition 5"/>
    <w:rsid w:val="00EB00CD"/>
    <w:pPr>
      <w:numPr>
        <w:numId w:val="12"/>
      </w:numPr>
    </w:pPr>
    <w:rPr>
      <w:rFonts w:ascii="Times New Roman" w:eastAsia="Times New Roman" w:hAnsi="Times New Roman"/>
    </w:rPr>
  </w:style>
  <w:style w:type="paragraph" w:customStyle="1" w:styleId="body10">
    <w:name w:val="body1"/>
    <w:basedOn w:val="Normal"/>
    <w:rsid w:val="00EB00CD"/>
    <w:pPr>
      <w:autoSpaceDE/>
      <w:autoSpaceDN/>
      <w:adjustRightInd/>
      <w:spacing w:after="200" w:line="276" w:lineRule="auto"/>
      <w:jc w:val="left"/>
    </w:pPr>
    <w:rPr>
      <w:rFonts w:eastAsiaTheme="minorHAnsi" w:cs="Arial"/>
      <w:lang w:eastAsia="en-GB"/>
    </w:rPr>
  </w:style>
  <w:style w:type="paragraph" w:customStyle="1" w:styleId="Body">
    <w:name w:val="Body"/>
    <w:rsid w:val="00EB00CD"/>
    <w:pPr>
      <w:spacing w:after="200" w:line="276" w:lineRule="auto"/>
    </w:pPr>
    <w:rPr>
      <w:rFonts w:eastAsia="Arial Unicode MS" w:hAnsi="Arial Unicode MS" w:cs="Arial Unicode MS"/>
      <w:color w:val="000000"/>
      <w:sz w:val="24"/>
      <w:szCs w:val="24"/>
      <w:u w:color="000000"/>
      <w:lang w:val="fr-FR"/>
    </w:rPr>
  </w:style>
  <w:style w:type="table" w:customStyle="1" w:styleId="TableGrid1">
    <w:name w:val="Table Grid1"/>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21">
    <w:name w:val="List 21"/>
    <w:basedOn w:val="ImportWordListStyleDefinition17"/>
    <w:semiHidden/>
    <w:rsid w:val="00EB00CD"/>
    <w:pPr>
      <w:numPr>
        <w:numId w:val="13"/>
      </w:numPr>
    </w:pPr>
  </w:style>
  <w:style w:type="paragraph" w:customStyle="1" w:styleId="List0">
    <w:name w:val="List 0"/>
    <w:basedOn w:val="ImportWordListStyleDefinition1"/>
    <w:semiHidden/>
    <w:rsid w:val="00EB00CD"/>
    <w:pPr>
      <w:numPr>
        <w:numId w:val="14"/>
      </w:numPr>
      <w:ind w:left="720" w:hanging="360"/>
    </w:pPr>
  </w:style>
  <w:style w:type="paragraph" w:styleId="BlockText">
    <w:name w:val="Block Text"/>
    <w:basedOn w:val="Normal"/>
    <w:semiHidden/>
    <w:unhideWhenUsed/>
    <w:rsid w:val="00B1367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B13675"/>
    <w:rPr>
      <w:sz w:val="16"/>
      <w:szCs w:val="16"/>
    </w:rPr>
  </w:style>
  <w:style w:type="character" w:customStyle="1" w:styleId="BodyText3Char">
    <w:name w:val="Body Text 3 Char"/>
    <w:basedOn w:val="DefaultParagraphFont"/>
    <w:link w:val="BodyText3"/>
    <w:semiHidden/>
    <w:rsid w:val="00B13675"/>
    <w:rPr>
      <w:rFonts w:eastAsia="Calibri" w:cs="Helvetica-Light"/>
      <w:color w:val="000000"/>
      <w:sz w:val="16"/>
      <w:szCs w:val="16"/>
      <w:lang w:eastAsia="en-US"/>
    </w:rPr>
  </w:style>
  <w:style w:type="paragraph" w:styleId="BodyTextIndent2">
    <w:name w:val="Body Text Indent 2"/>
    <w:basedOn w:val="Normal"/>
    <w:link w:val="BodyTextIndent2Char"/>
    <w:semiHidden/>
    <w:unhideWhenUsed/>
    <w:rsid w:val="00B13675"/>
    <w:pPr>
      <w:spacing w:line="480" w:lineRule="auto"/>
      <w:ind w:left="283"/>
    </w:pPr>
  </w:style>
  <w:style w:type="character" w:customStyle="1" w:styleId="BodyTextIndent2Char">
    <w:name w:val="Body Text Indent 2 Char"/>
    <w:basedOn w:val="DefaultParagraphFont"/>
    <w:link w:val="BodyTextIndent2"/>
    <w:semiHidden/>
    <w:rsid w:val="00B13675"/>
    <w:rPr>
      <w:rFonts w:eastAsia="Calibri" w:cs="Helvetica-Light"/>
      <w:color w:val="000000"/>
      <w:sz w:val="24"/>
      <w:szCs w:val="24"/>
      <w:lang w:eastAsia="en-US"/>
    </w:rPr>
  </w:style>
  <w:style w:type="paragraph" w:styleId="BodyTextIndent3">
    <w:name w:val="Body Text Indent 3"/>
    <w:basedOn w:val="Normal"/>
    <w:link w:val="BodyTextIndent3Char"/>
    <w:semiHidden/>
    <w:unhideWhenUsed/>
    <w:rsid w:val="00B13675"/>
    <w:pPr>
      <w:ind w:left="283"/>
    </w:pPr>
    <w:rPr>
      <w:sz w:val="16"/>
      <w:szCs w:val="16"/>
    </w:rPr>
  </w:style>
  <w:style w:type="character" w:customStyle="1" w:styleId="BodyTextIndent3Char">
    <w:name w:val="Body Text Indent 3 Char"/>
    <w:basedOn w:val="DefaultParagraphFont"/>
    <w:link w:val="BodyTextIndent3"/>
    <w:semiHidden/>
    <w:rsid w:val="00B13675"/>
    <w:rPr>
      <w:rFonts w:eastAsia="Calibri" w:cs="Helvetica-Light"/>
      <w:color w:val="000000"/>
      <w:sz w:val="16"/>
      <w:szCs w:val="16"/>
      <w:lang w:eastAsia="en-US"/>
    </w:rPr>
  </w:style>
  <w:style w:type="paragraph" w:styleId="DocumentMap">
    <w:name w:val="Document Map"/>
    <w:basedOn w:val="Normal"/>
    <w:link w:val="DocumentMapChar"/>
    <w:semiHidden/>
    <w:unhideWhenUsed/>
    <w:rsid w:val="00B13675"/>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B13675"/>
    <w:rPr>
      <w:rFonts w:ascii="Segoe UI" w:eastAsia="Calibri" w:hAnsi="Segoe UI" w:cs="Segoe UI"/>
      <w:color w:val="000000"/>
      <w:sz w:val="16"/>
      <w:szCs w:val="16"/>
      <w:lang w:eastAsia="en-US"/>
    </w:rPr>
  </w:style>
  <w:style w:type="paragraph" w:styleId="E-mailSignature">
    <w:name w:val="E-mail Signature"/>
    <w:basedOn w:val="Normal"/>
    <w:link w:val="E-mailSignatureChar"/>
    <w:uiPriority w:val="99"/>
    <w:semiHidden/>
    <w:unhideWhenUsed/>
    <w:rsid w:val="00B13675"/>
    <w:pPr>
      <w:spacing w:after="0"/>
    </w:pPr>
  </w:style>
  <w:style w:type="character" w:customStyle="1" w:styleId="E-mailSignatureChar">
    <w:name w:val="E-mail Signature Char"/>
    <w:basedOn w:val="DefaultParagraphFont"/>
    <w:link w:val="E-mailSignature"/>
    <w:uiPriority w:val="99"/>
    <w:semiHidden/>
    <w:rsid w:val="00B13675"/>
    <w:rPr>
      <w:rFonts w:eastAsia="Calibri" w:cs="Helvetica-Light"/>
      <w:color w:val="000000"/>
      <w:sz w:val="24"/>
      <w:szCs w:val="24"/>
      <w:lang w:eastAsia="en-US"/>
    </w:rPr>
  </w:style>
  <w:style w:type="paragraph" w:styleId="EnvelopeAddress">
    <w:name w:val="envelope address"/>
    <w:basedOn w:val="Normal"/>
    <w:uiPriority w:val="99"/>
    <w:semiHidden/>
    <w:unhideWhenUsed/>
    <w:rsid w:val="00B13675"/>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13675"/>
    <w:pPr>
      <w:spacing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B13675"/>
    <w:pPr>
      <w:spacing w:after="0"/>
    </w:pPr>
    <w:rPr>
      <w:i/>
      <w:iCs/>
    </w:rPr>
  </w:style>
  <w:style w:type="character" w:customStyle="1" w:styleId="HTMLAddressChar">
    <w:name w:val="HTML Address Char"/>
    <w:basedOn w:val="DefaultParagraphFont"/>
    <w:link w:val="HTMLAddress"/>
    <w:uiPriority w:val="99"/>
    <w:semiHidden/>
    <w:rsid w:val="00B13675"/>
    <w:rPr>
      <w:rFonts w:eastAsia="Calibri" w:cs="Helvetica-Light"/>
      <w:i/>
      <w:iCs/>
      <w:color w:val="000000"/>
      <w:sz w:val="24"/>
      <w:szCs w:val="24"/>
      <w:lang w:eastAsia="en-US"/>
    </w:rPr>
  </w:style>
  <w:style w:type="paragraph" w:styleId="Index1">
    <w:name w:val="index 1"/>
    <w:basedOn w:val="Normal"/>
    <w:next w:val="Normal"/>
    <w:autoRedefine/>
    <w:uiPriority w:val="99"/>
    <w:semiHidden/>
    <w:unhideWhenUsed/>
    <w:rsid w:val="00B13675"/>
    <w:pPr>
      <w:spacing w:after="0"/>
      <w:ind w:left="240" w:hanging="240"/>
    </w:pPr>
  </w:style>
  <w:style w:type="paragraph" w:styleId="Index2">
    <w:name w:val="index 2"/>
    <w:basedOn w:val="Normal"/>
    <w:next w:val="Normal"/>
    <w:autoRedefine/>
    <w:uiPriority w:val="99"/>
    <w:semiHidden/>
    <w:unhideWhenUsed/>
    <w:rsid w:val="00B13675"/>
    <w:pPr>
      <w:spacing w:after="0"/>
      <w:ind w:left="480" w:hanging="240"/>
    </w:pPr>
  </w:style>
  <w:style w:type="paragraph" w:styleId="Index3">
    <w:name w:val="index 3"/>
    <w:basedOn w:val="Normal"/>
    <w:next w:val="Normal"/>
    <w:autoRedefine/>
    <w:uiPriority w:val="99"/>
    <w:semiHidden/>
    <w:unhideWhenUsed/>
    <w:rsid w:val="00B13675"/>
    <w:pPr>
      <w:spacing w:after="0"/>
      <w:ind w:left="720" w:hanging="240"/>
    </w:pPr>
  </w:style>
  <w:style w:type="paragraph" w:styleId="Index4">
    <w:name w:val="index 4"/>
    <w:basedOn w:val="Normal"/>
    <w:next w:val="Normal"/>
    <w:autoRedefine/>
    <w:uiPriority w:val="99"/>
    <w:semiHidden/>
    <w:unhideWhenUsed/>
    <w:rsid w:val="00B13675"/>
    <w:pPr>
      <w:spacing w:after="0"/>
      <w:ind w:left="960" w:hanging="240"/>
    </w:pPr>
  </w:style>
  <w:style w:type="paragraph" w:styleId="Index5">
    <w:name w:val="index 5"/>
    <w:basedOn w:val="Normal"/>
    <w:next w:val="Normal"/>
    <w:autoRedefine/>
    <w:uiPriority w:val="99"/>
    <w:semiHidden/>
    <w:unhideWhenUsed/>
    <w:rsid w:val="00B13675"/>
    <w:pPr>
      <w:spacing w:after="0"/>
      <w:ind w:left="1200" w:hanging="240"/>
    </w:pPr>
  </w:style>
  <w:style w:type="paragraph" w:styleId="Index6">
    <w:name w:val="index 6"/>
    <w:basedOn w:val="Normal"/>
    <w:next w:val="Normal"/>
    <w:autoRedefine/>
    <w:uiPriority w:val="99"/>
    <w:semiHidden/>
    <w:unhideWhenUsed/>
    <w:rsid w:val="00B13675"/>
    <w:pPr>
      <w:spacing w:after="0"/>
      <w:ind w:left="1440" w:hanging="240"/>
    </w:pPr>
  </w:style>
  <w:style w:type="paragraph" w:styleId="IntenseQuote">
    <w:name w:val="Intense Quote"/>
    <w:basedOn w:val="Normal"/>
    <w:next w:val="Normal"/>
    <w:link w:val="IntenseQuoteChar"/>
    <w:uiPriority w:val="30"/>
    <w:qFormat/>
    <w:rsid w:val="00B1367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13675"/>
    <w:rPr>
      <w:rFonts w:eastAsia="Calibri" w:cs="Helvetica-Light"/>
      <w:i/>
      <w:iCs/>
      <w:color w:val="4F81BD" w:themeColor="accent1"/>
      <w:sz w:val="24"/>
      <w:szCs w:val="24"/>
      <w:lang w:eastAsia="en-US"/>
    </w:rPr>
  </w:style>
  <w:style w:type="paragraph" w:styleId="List">
    <w:name w:val="List"/>
    <w:basedOn w:val="Normal"/>
    <w:uiPriority w:val="99"/>
    <w:semiHidden/>
    <w:unhideWhenUsed/>
    <w:rsid w:val="00B13675"/>
    <w:pPr>
      <w:ind w:left="283" w:hanging="283"/>
      <w:contextualSpacing/>
    </w:pPr>
  </w:style>
  <w:style w:type="paragraph" w:styleId="List2">
    <w:name w:val="List 2"/>
    <w:basedOn w:val="Normal"/>
    <w:uiPriority w:val="99"/>
    <w:semiHidden/>
    <w:unhideWhenUsed/>
    <w:rsid w:val="00B13675"/>
    <w:pPr>
      <w:ind w:left="566" w:hanging="283"/>
      <w:contextualSpacing/>
    </w:pPr>
  </w:style>
  <w:style w:type="paragraph" w:styleId="List3">
    <w:name w:val="List 3"/>
    <w:basedOn w:val="Normal"/>
    <w:uiPriority w:val="99"/>
    <w:semiHidden/>
    <w:unhideWhenUsed/>
    <w:rsid w:val="00B13675"/>
    <w:pPr>
      <w:ind w:left="849" w:hanging="283"/>
      <w:contextualSpacing/>
    </w:pPr>
  </w:style>
  <w:style w:type="paragraph" w:styleId="List4">
    <w:name w:val="List 4"/>
    <w:basedOn w:val="Normal"/>
    <w:uiPriority w:val="99"/>
    <w:semiHidden/>
    <w:unhideWhenUsed/>
    <w:rsid w:val="00B13675"/>
    <w:pPr>
      <w:ind w:left="1132" w:hanging="283"/>
      <w:contextualSpacing/>
    </w:pPr>
  </w:style>
  <w:style w:type="paragraph" w:styleId="List5">
    <w:name w:val="List 5"/>
    <w:basedOn w:val="Normal"/>
    <w:uiPriority w:val="99"/>
    <w:semiHidden/>
    <w:unhideWhenUsed/>
    <w:rsid w:val="00B13675"/>
    <w:pPr>
      <w:ind w:left="1415" w:hanging="283"/>
      <w:contextualSpacing/>
    </w:pPr>
  </w:style>
  <w:style w:type="paragraph" w:styleId="ListBullet">
    <w:name w:val="List Bullet"/>
    <w:basedOn w:val="Normal"/>
    <w:semiHidden/>
    <w:unhideWhenUsed/>
    <w:rsid w:val="00B13675"/>
    <w:pPr>
      <w:numPr>
        <w:numId w:val="15"/>
      </w:numPr>
      <w:contextualSpacing/>
    </w:pPr>
  </w:style>
  <w:style w:type="paragraph" w:styleId="ListBullet2">
    <w:name w:val="List Bullet 2"/>
    <w:basedOn w:val="Normal"/>
    <w:uiPriority w:val="99"/>
    <w:semiHidden/>
    <w:unhideWhenUsed/>
    <w:rsid w:val="00B13675"/>
    <w:pPr>
      <w:numPr>
        <w:numId w:val="16"/>
      </w:numPr>
      <w:contextualSpacing/>
    </w:pPr>
  </w:style>
  <w:style w:type="paragraph" w:styleId="ListBullet3">
    <w:name w:val="List Bullet 3"/>
    <w:basedOn w:val="Normal"/>
    <w:uiPriority w:val="99"/>
    <w:semiHidden/>
    <w:unhideWhenUsed/>
    <w:rsid w:val="00B13675"/>
    <w:pPr>
      <w:numPr>
        <w:numId w:val="17"/>
      </w:numPr>
      <w:contextualSpacing/>
    </w:pPr>
  </w:style>
  <w:style w:type="paragraph" w:styleId="ListBullet4">
    <w:name w:val="List Bullet 4"/>
    <w:basedOn w:val="Normal"/>
    <w:uiPriority w:val="99"/>
    <w:semiHidden/>
    <w:unhideWhenUsed/>
    <w:rsid w:val="00B13675"/>
    <w:pPr>
      <w:numPr>
        <w:numId w:val="18"/>
      </w:numPr>
      <w:contextualSpacing/>
    </w:pPr>
  </w:style>
  <w:style w:type="paragraph" w:styleId="ListBullet5">
    <w:name w:val="List Bullet 5"/>
    <w:basedOn w:val="Normal"/>
    <w:uiPriority w:val="99"/>
    <w:semiHidden/>
    <w:unhideWhenUsed/>
    <w:rsid w:val="00B13675"/>
    <w:pPr>
      <w:numPr>
        <w:numId w:val="19"/>
      </w:numPr>
      <w:contextualSpacing/>
    </w:pPr>
  </w:style>
  <w:style w:type="paragraph" w:styleId="ListContinue">
    <w:name w:val="List Continue"/>
    <w:basedOn w:val="Normal"/>
    <w:uiPriority w:val="99"/>
    <w:semiHidden/>
    <w:unhideWhenUsed/>
    <w:rsid w:val="00B13675"/>
    <w:pPr>
      <w:ind w:left="283"/>
      <w:contextualSpacing/>
    </w:pPr>
  </w:style>
  <w:style w:type="paragraph" w:styleId="ListContinue2">
    <w:name w:val="List Continue 2"/>
    <w:basedOn w:val="Normal"/>
    <w:uiPriority w:val="99"/>
    <w:semiHidden/>
    <w:unhideWhenUsed/>
    <w:rsid w:val="00B13675"/>
    <w:pPr>
      <w:ind w:left="566"/>
      <w:contextualSpacing/>
    </w:pPr>
  </w:style>
  <w:style w:type="paragraph" w:styleId="ListContinue3">
    <w:name w:val="List Continue 3"/>
    <w:basedOn w:val="Normal"/>
    <w:uiPriority w:val="99"/>
    <w:semiHidden/>
    <w:unhideWhenUsed/>
    <w:rsid w:val="00B13675"/>
    <w:pPr>
      <w:ind w:left="849"/>
      <w:contextualSpacing/>
    </w:pPr>
  </w:style>
  <w:style w:type="paragraph" w:styleId="ListContinue4">
    <w:name w:val="List Continue 4"/>
    <w:basedOn w:val="Normal"/>
    <w:uiPriority w:val="99"/>
    <w:semiHidden/>
    <w:unhideWhenUsed/>
    <w:rsid w:val="00B13675"/>
    <w:pPr>
      <w:ind w:left="1132"/>
      <w:contextualSpacing/>
    </w:pPr>
  </w:style>
  <w:style w:type="paragraph" w:styleId="ListContinue5">
    <w:name w:val="List Continue 5"/>
    <w:basedOn w:val="Normal"/>
    <w:uiPriority w:val="99"/>
    <w:semiHidden/>
    <w:unhideWhenUsed/>
    <w:rsid w:val="00B13675"/>
    <w:pPr>
      <w:ind w:left="1415"/>
      <w:contextualSpacing/>
    </w:pPr>
  </w:style>
  <w:style w:type="paragraph" w:styleId="ListNumber">
    <w:name w:val="List Number"/>
    <w:basedOn w:val="Normal"/>
    <w:uiPriority w:val="99"/>
    <w:semiHidden/>
    <w:unhideWhenUsed/>
    <w:rsid w:val="00B13675"/>
    <w:pPr>
      <w:numPr>
        <w:numId w:val="20"/>
      </w:numPr>
      <w:contextualSpacing/>
    </w:pPr>
  </w:style>
  <w:style w:type="paragraph" w:styleId="ListNumber2">
    <w:name w:val="List Number 2"/>
    <w:basedOn w:val="Normal"/>
    <w:uiPriority w:val="99"/>
    <w:semiHidden/>
    <w:unhideWhenUsed/>
    <w:rsid w:val="00B13675"/>
    <w:pPr>
      <w:numPr>
        <w:numId w:val="21"/>
      </w:numPr>
      <w:contextualSpacing/>
    </w:pPr>
  </w:style>
  <w:style w:type="paragraph" w:styleId="ListNumber3">
    <w:name w:val="List Number 3"/>
    <w:basedOn w:val="Normal"/>
    <w:uiPriority w:val="99"/>
    <w:semiHidden/>
    <w:unhideWhenUsed/>
    <w:rsid w:val="00B13675"/>
    <w:pPr>
      <w:numPr>
        <w:numId w:val="22"/>
      </w:numPr>
      <w:contextualSpacing/>
    </w:pPr>
  </w:style>
  <w:style w:type="paragraph" w:styleId="ListNumber4">
    <w:name w:val="List Number 4"/>
    <w:basedOn w:val="Normal"/>
    <w:uiPriority w:val="99"/>
    <w:semiHidden/>
    <w:unhideWhenUsed/>
    <w:rsid w:val="00B13675"/>
    <w:pPr>
      <w:numPr>
        <w:numId w:val="23"/>
      </w:numPr>
      <w:contextualSpacing/>
    </w:pPr>
  </w:style>
  <w:style w:type="paragraph" w:styleId="ListNumber5">
    <w:name w:val="List Number 5"/>
    <w:basedOn w:val="Normal"/>
    <w:uiPriority w:val="99"/>
    <w:semiHidden/>
    <w:unhideWhenUsed/>
    <w:rsid w:val="00B13675"/>
    <w:pPr>
      <w:numPr>
        <w:numId w:val="24"/>
      </w:numPr>
      <w:contextualSpacing/>
    </w:pPr>
  </w:style>
  <w:style w:type="paragraph" w:styleId="Macro">
    <w:name w:val="macro"/>
    <w:link w:val="MacroTextChar"/>
    <w:uiPriority w:val="99"/>
    <w:semiHidden/>
    <w:unhideWhenUsed/>
    <w:rsid w:val="00B13675"/>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jc w:val="both"/>
    </w:pPr>
    <w:rPr>
      <w:rFonts w:ascii="Consolas" w:eastAsia="Calibri" w:hAnsi="Consolas" w:cs="Helvetica-Light"/>
      <w:color w:val="000000"/>
      <w:lang w:eastAsia="en-US"/>
    </w:rPr>
  </w:style>
  <w:style w:type="character" w:customStyle="1" w:styleId="MacroTextChar">
    <w:name w:val="Macro Text Char"/>
    <w:basedOn w:val="DefaultParagraphFont"/>
    <w:link w:val="Macro"/>
    <w:uiPriority w:val="99"/>
    <w:semiHidden/>
    <w:rsid w:val="00B13675"/>
    <w:rPr>
      <w:rFonts w:ascii="Consolas" w:eastAsia="Calibri" w:hAnsi="Consolas" w:cs="Helvetica-Light"/>
      <w:color w:val="000000"/>
      <w:lang w:eastAsia="en-US"/>
    </w:rPr>
  </w:style>
  <w:style w:type="paragraph" w:styleId="MessageHeader">
    <w:name w:val="Message Header"/>
    <w:basedOn w:val="Normal"/>
    <w:link w:val="MessageHeaderChar"/>
    <w:uiPriority w:val="99"/>
    <w:semiHidden/>
    <w:unhideWhenUsed/>
    <w:rsid w:val="00B1367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13675"/>
    <w:rPr>
      <w:rFonts w:asciiTheme="majorHAnsi" w:eastAsiaTheme="majorEastAsia" w:hAnsiTheme="majorHAnsi" w:cstheme="majorBidi"/>
      <w:color w:val="000000"/>
      <w:sz w:val="24"/>
      <w:szCs w:val="24"/>
      <w:shd w:val="pct20" w:color="auto" w:fill="auto"/>
      <w:lang w:eastAsia="en-US"/>
    </w:rPr>
  </w:style>
  <w:style w:type="paragraph" w:customStyle="1" w:styleId="NoteHeading1">
    <w:name w:val="Note Heading1"/>
    <w:basedOn w:val="Normal"/>
    <w:next w:val="Normal"/>
    <w:link w:val="NoteHeadingChar"/>
    <w:uiPriority w:val="99"/>
    <w:semiHidden/>
    <w:unhideWhenUsed/>
    <w:rsid w:val="00B13675"/>
    <w:pPr>
      <w:spacing w:after="0"/>
    </w:pPr>
  </w:style>
  <w:style w:type="character" w:customStyle="1" w:styleId="NoteHeadingChar">
    <w:name w:val="Note Heading Char"/>
    <w:basedOn w:val="DefaultParagraphFont"/>
    <w:link w:val="NoteHeading1"/>
    <w:uiPriority w:val="99"/>
    <w:semiHidden/>
    <w:rsid w:val="00B13675"/>
    <w:rPr>
      <w:rFonts w:eastAsia="Calibri" w:cs="Helvetica-Light"/>
      <w:color w:val="000000"/>
      <w:sz w:val="24"/>
      <w:szCs w:val="24"/>
      <w:lang w:eastAsia="en-US"/>
    </w:rPr>
  </w:style>
  <w:style w:type="paragraph" w:styleId="PlainText">
    <w:name w:val="Plain Text"/>
    <w:basedOn w:val="Normal"/>
    <w:link w:val="PlainTextChar"/>
    <w:uiPriority w:val="2"/>
    <w:semiHidden/>
    <w:unhideWhenUsed/>
    <w:rsid w:val="00B13675"/>
    <w:pPr>
      <w:spacing w:after="0"/>
    </w:pPr>
    <w:rPr>
      <w:rFonts w:ascii="Consolas" w:hAnsi="Consolas"/>
      <w:sz w:val="21"/>
      <w:szCs w:val="21"/>
    </w:rPr>
  </w:style>
  <w:style w:type="character" w:customStyle="1" w:styleId="PlainTextChar">
    <w:name w:val="Plain Text Char"/>
    <w:basedOn w:val="DefaultParagraphFont"/>
    <w:link w:val="PlainText"/>
    <w:uiPriority w:val="2"/>
    <w:semiHidden/>
    <w:rsid w:val="00B13675"/>
    <w:rPr>
      <w:rFonts w:ascii="Consolas" w:eastAsia="Calibri" w:hAnsi="Consolas" w:cs="Helvetica-Light"/>
      <w:color w:val="000000"/>
      <w:sz w:val="21"/>
      <w:szCs w:val="21"/>
      <w:lang w:eastAsia="en-US"/>
    </w:rPr>
  </w:style>
  <w:style w:type="paragraph" w:styleId="Salutation">
    <w:name w:val="Salutation"/>
    <w:basedOn w:val="Normal"/>
    <w:next w:val="Normal"/>
    <w:link w:val="SalutationChar"/>
    <w:uiPriority w:val="99"/>
    <w:semiHidden/>
    <w:unhideWhenUsed/>
    <w:rsid w:val="00B13675"/>
  </w:style>
  <w:style w:type="character" w:customStyle="1" w:styleId="SalutationChar">
    <w:name w:val="Salutation Char"/>
    <w:basedOn w:val="DefaultParagraphFont"/>
    <w:link w:val="Salutation"/>
    <w:uiPriority w:val="99"/>
    <w:semiHidden/>
    <w:rsid w:val="00B13675"/>
    <w:rPr>
      <w:rFonts w:eastAsia="Calibri" w:cs="Helvetica-Light"/>
      <w:color w:val="000000"/>
      <w:sz w:val="24"/>
      <w:szCs w:val="24"/>
      <w:lang w:eastAsia="en-US"/>
    </w:rPr>
  </w:style>
  <w:style w:type="paragraph" w:styleId="Signature">
    <w:name w:val="Signature"/>
    <w:basedOn w:val="Normal"/>
    <w:link w:val="SignatureChar"/>
    <w:uiPriority w:val="99"/>
    <w:semiHidden/>
    <w:unhideWhenUsed/>
    <w:rsid w:val="00B13675"/>
    <w:pPr>
      <w:spacing w:after="0"/>
      <w:ind w:left="4252"/>
    </w:pPr>
  </w:style>
  <w:style w:type="character" w:customStyle="1" w:styleId="SignatureChar">
    <w:name w:val="Signature Char"/>
    <w:basedOn w:val="DefaultParagraphFont"/>
    <w:link w:val="Signature"/>
    <w:uiPriority w:val="99"/>
    <w:semiHidden/>
    <w:rsid w:val="00B13675"/>
    <w:rPr>
      <w:rFonts w:eastAsia="Calibri" w:cs="Helvetica-Light"/>
      <w:color w:val="000000"/>
      <w:sz w:val="24"/>
      <w:szCs w:val="24"/>
      <w:lang w:eastAsia="en-US"/>
    </w:rPr>
  </w:style>
  <w:style w:type="paragraph" w:styleId="Subtitle">
    <w:name w:val="Subtitle"/>
    <w:basedOn w:val="Normal"/>
    <w:next w:val="Normal"/>
    <w:link w:val="SubtitleChar"/>
    <w:uiPriority w:val="11"/>
    <w:qFormat/>
    <w:rsid w:val="00B1367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13675"/>
    <w:rPr>
      <w:rFonts w:asciiTheme="minorHAnsi" w:eastAsiaTheme="minorEastAsia" w:hAnsiTheme="minorHAnsi" w:cstheme="minorBidi"/>
      <w:color w:val="5A5A5A" w:themeColor="text1" w:themeTint="A5"/>
      <w:spacing w:val="15"/>
      <w:sz w:val="22"/>
      <w:szCs w:val="22"/>
      <w:lang w:eastAsia="en-US"/>
    </w:rPr>
  </w:style>
  <w:style w:type="table" w:customStyle="1" w:styleId="TableGrid8">
    <w:name w:val="Table Grid8"/>
    <w:basedOn w:val="TableNormal"/>
    <w:next w:val="TableGrid"/>
    <w:uiPriority w:val="59"/>
    <w:rsid w:val="006805CF"/>
    <w:rPr>
      <w:rFonts w:eastAsia="Times New Roman"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965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DefaultParagraphFont"/>
    <w:rsid w:val="006D68E6"/>
  </w:style>
  <w:style w:type="paragraph" w:customStyle="1" w:styleId="Normal1">
    <w:name w:val="Normal1"/>
    <w:uiPriority w:val="99"/>
    <w:rsid w:val="00677ADA"/>
    <w:pPr>
      <w:spacing w:after="120"/>
      <w:jc w:val="both"/>
    </w:pPr>
    <w:rPr>
      <w:rFonts w:eastAsia="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image" Target="media/image3.png" /><Relationship Id="rId9" Type="http://schemas.openxmlformats.org/officeDocument/2006/relationships/chart" Target="charts/chart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2.jpe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Documents%20and%20Settings\tboswell001\Local%20Settings\Temporary%20Internet%20Files\Content.IE5\7BRXSR7D\Full%20Report%20Template%5B1%5D.dot" TargetMode="External" /></Relationships>
</file>

<file path=word/charts/_rels/chart1.xml.rels>&#65279;<?xml version="1.0" encoding="utf-8" standalone="yes"?><Relationships xmlns="http://schemas.openxmlformats.org/package/2006/relationships"><Relationship Id="rId1" Type="http://schemas.openxmlformats.org/officeDocument/2006/relationships/oleObject" Target="file:///\\corpdata02.ad.lancscc.net\res\ResourcesRestrictedPermissions\Schools%20Forum\Schools%20Forum\LSF\Meetings\Schools%20Forum\2%20July%202020\Copy%20of%20Final%20Schools%20outturn%201920%20Stats%20for%20Forum.xlsx" TargetMode="External" /><Relationship Id="rId2" Type="http://schemas.microsoft.com/office/2011/relationships/chartColorStyle" Target="chart/colors1.xml" /><Relationship Id="rId3" Type="http://schemas.microsoft.com/office/2011/relationships/chartStyle" Target="chart/style1.xml" /></Relationships>
</file>

<file path=word/charts/chart/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style1.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rotWithShape="1">
        <a:gsLst>
          <a:gs pos="0">
            <a:schemeClr val="lt1"/>
          </a:gs>
          <a:gs pos="39000">
            <a:schemeClr val="lt1"/>
          </a:gs>
          <a:gs pos="100000">
            <a:schemeClr val="lt1">
              <a:lumMod val="75000"/>
            </a:schemeClr>
          </a:gs>
        </a:gsLst>
        <a:path path="circle">
          <a:fillToRect l="50000" t="-80000" r="50000" b="180000"/>
        </a:path>
      </a:gradFill>
      <a:ln w="9525">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gradFill rotWithShape="0">
          <a:gsLst>
            <a:gs pos="0">
              <a:schemeClr val="lt1">
                <a:lumMod val="75000"/>
                <a:alpha val="36000"/>
              </a:schemeClr>
            </a:gs>
            <a:gs pos="100000">
              <a:schemeClr val="dk1">
                <a:lumMod val="95000"/>
                <a:lumOff val="5000"/>
                <a:alpha val="42000"/>
              </a:schemeClr>
            </a:gs>
          </a:gsLst>
          <a:lin ang="5400000" scaled="0"/>
        </a:gradFill>
        <a:round/>
      </a:ln>
    </cs:spPr>
  </cs:gridlineMajor>
  <cs:gridlineMinor>
    <cs:lnRef idx="0"/>
    <cs:fillRef idx="0"/>
    <cs:effectRef idx="0"/>
    <cs:fontRef idx="minor">
      <a:schemeClr val="dk1"/>
    </cs:fontRef>
    <cs:spPr>
      <a:ln>
        <a:gradFill rotWithShape="0">
          <a:gsLst>
            <a:gs pos="0">
              <a:schemeClr val="lt1">
                <a:lumMod val="75000"/>
                <a:alpha val="36000"/>
              </a:schemeClr>
            </a:gs>
            <a:gs pos="100000">
              <a:schemeClr val="dk1">
                <a:lumMod val="95000"/>
                <a:lumOff val="5000"/>
                <a:alpha val="42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chart1.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a:t>School Balances 2009/10 to 2019/20</a:t>
            </a:r>
          </a:p>
        </c:rich>
      </c:tx>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plotArea>
      <c:lineChart>
        <c:grouping val="standard"/>
        <c:varyColors val="0"/>
        <c:ser>
          <c:idx val="0"/>
          <c:order val="0"/>
          <c:spPr>
            <a:ln w="31750" cap="rnd">
              <a:solidFill>
                <a:schemeClr val="accent1"/>
              </a:solidFill>
              <a:round/>
            </a:ln>
            <a:effectLst/>
          </c:spPr>
          <c:marker>
            <c:symbol val="circle"/>
            <c:size val="17"/>
            <c:spPr>
              <a:solidFill>
                <a:schemeClr val="accent1"/>
              </a:solidFill>
              <a:ln>
                <a:noFill/>
              </a:ln>
              <a:effectLst/>
            </c:spPr>
          </c:marker>
          <c:dLbls>
            <c:delete val="1"/>
          </c:dLbls>
          <c:cat>
            <c:strRef>
              <c:f>graph!$B$3:$L$3</c:f>
              <c:strCache>
                <c:ptCount val="11"/>
                <c:pt idx="0">
                  <c:v>2009/10</c:v>
                </c:pt>
                <c:pt idx="1">
                  <c:v>2010/11</c:v>
                </c:pt>
                <c:pt idx="2">
                  <c:v>2011/12</c:v>
                </c:pt>
                <c:pt idx="3">
                  <c:v>2012/13</c:v>
                </c:pt>
                <c:pt idx="4">
                  <c:v>2013/14</c:v>
                </c:pt>
                <c:pt idx="5">
                  <c:v>2014/15</c:v>
                </c:pt>
                <c:pt idx="6">
                  <c:v>2015/16</c:v>
                </c:pt>
                <c:pt idx="7">
                  <c:v>2016/17</c:v>
                </c:pt>
                <c:pt idx="8">
                  <c:v>2017/18</c:v>
                </c:pt>
                <c:pt idx="9">
                  <c:v>2018/19</c:v>
                </c:pt>
                <c:pt idx="10">
                  <c:v>2019/20</c:v>
                </c:pt>
              </c:strCache>
            </c:strRef>
          </c:cat>
          <c:val>
            <c:numRef>
              <c:f>graph!$B$4:$L$4</c:f>
              <c:numCache>
                <c:formatCode>General</c:formatCode>
                <c:ptCount val="11"/>
                <c:pt idx="0">
                  <c:v>39.823</c:v>
                </c:pt>
                <c:pt idx="1">
                  <c:v>47.317</c:v>
                </c:pt>
                <c:pt idx="2">
                  <c:v>52.225</c:v>
                </c:pt>
                <c:pt idx="3">
                  <c:v>51.48</c:v>
                </c:pt>
                <c:pt idx="4">
                  <c:v>55.854</c:v>
                </c:pt>
                <c:pt idx="5">
                  <c:v>56.373</c:v>
                </c:pt>
                <c:pt idx="6">
                  <c:v>53.946</c:v>
                </c:pt>
                <c:pt idx="7">
                  <c:v>45.281</c:v>
                </c:pt>
                <c:pt idx="8">
                  <c:v>44.15</c:v>
                </c:pt>
                <c:pt idx="9">
                  <c:v>42.74</c:v>
                </c:pt>
                <c:pt idx="10">
                  <c:v>47.32</c:v>
                </c:pt>
              </c:numCache>
            </c:numRef>
          </c:val>
          <c:extLst>
            <c:ext xmlns:c="http://schemas.openxmlformats.org/drawingml/2006/chart" xmlns:c16="http://schemas.microsoft.com/office/drawing/2014/chart" uri="{C3380CC4-5D6E-409C-BE32-E72D297353CC}">
              <c16:uniqueId val="{00000000-1E5E-464C-A759-EF87FD803022}"/>
            </c:ext>
          </c:extLst>
        </c:ser>
        <c:dLbls>
          <c:dLblPos val="ctr"/>
          <c:showLegendKey val="0"/>
          <c:showVal val="1"/>
          <c:showCatName val="0"/>
          <c:showSerName val="0"/>
          <c:showPercent val="0"/>
          <c:showBubbleSize val="0"/>
        </c:dLbls>
        <c:marker val="1"/>
        <c:smooth val="0"/>
        <c:axId val="282889808"/>
        <c:axId val="282890200"/>
      </c:lineChart>
      <c:catAx>
        <c:axId val="282889808"/>
        <c:scaling>
          <c:orientation val="minMax"/>
        </c:scaling>
        <c:axPos val="b"/>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GB"/>
                  <a:t>Finacial Year</a:t>
                </a:r>
              </a:p>
            </c:rich>
          </c:tx>
          <c:spPr>
            <a:no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n-US"/>
            </a:p>
          </c:txPr>
        </c:title>
        <c:numFmt formatCode="General" sourceLinked="1"/>
        <c:majorTickMark val="none"/>
        <c:minorTickMark val="none"/>
        <c:tickLblPos val="nextTo"/>
        <c:spPr>
          <a:noFill/>
          <a:ln w="19050">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282890200"/>
        <c:crosses val="autoZero"/>
        <c:auto val="1"/>
        <c:lblAlgn val="ctr"/>
        <c:lblOffset val="100"/>
      </c:catAx>
      <c:valAx>
        <c:axId val="282890200"/>
        <c:scaling>
          <c:orientation val="minMax"/>
        </c:scaling>
        <c:axPos val="l"/>
        <c:majorGridlines>
          <c:spPr>
            <a:ln w="9525">
              <a:gradFill rotWithShape="0">
                <a:gsLst>
                  <a:gs pos="0">
                    <a:schemeClr val="lt1">
                      <a:lumMod val="75000"/>
                      <a:alpha val="36000"/>
                    </a:schemeClr>
                  </a:gs>
                  <a:gs pos="100000">
                    <a:schemeClr val="dk1">
                      <a:lumMod val="95000"/>
                      <a:lumOff val="5000"/>
                      <a:alpha val="42000"/>
                    </a:schemeClr>
                  </a:gs>
                </a:gsLst>
                <a:lin ang="5400000" scaled="0"/>
              </a:gra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GB"/>
                  <a:t>Year  end aggregate school balances (£m)</a:t>
                </a:r>
              </a:p>
            </c:rich>
          </c:tx>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282889808"/>
        <c:crosses val="autoZero"/>
        <c:crossBetween val="between"/>
      </c:valAx>
      <c:spPr>
        <a:noFill/>
        <a:ln>
          <a:noFill/>
        </a:ln>
        <a:effectLst/>
      </c:spPr>
    </c:plotArea>
    <c:plotVisOnly val="1"/>
    <c:dispBlanksAs val="gap"/>
  </c:chart>
  <c:spPr>
    <a:gradFill rotWithShape="1">
      <a:gsLst>
        <a:gs pos="0">
          <a:schemeClr val="lt1"/>
        </a:gs>
        <a:gs pos="39000">
          <a:schemeClr val="lt1"/>
        </a:gs>
        <a:gs pos="100000">
          <a:schemeClr val="lt1">
            <a:lumMod val="75000"/>
          </a:schemeClr>
        </a:gs>
      </a:gsLst>
      <a:path path="circle">
        <a:fillToRect l="50000" t="-80000" r="50000" b="180000"/>
      </a:path>
    </a:gradFill>
    <a:ln w="9525">
      <a:solidFill>
        <a:schemeClr val="dk1">
          <a:lumMod val="25000"/>
          <a:lumOff val="7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01766-AED9-4F74-8F56-D1D09ED26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Template[1].dot</Template>
  <TotalTime>4229</TotalTime>
  <Pages>44</Pages>
  <Words>12240</Words>
  <Characters>69768</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81845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tboswell001</dc:creator>
  <cp:lastModifiedBy>Warren, Chris</cp:lastModifiedBy>
  <cp:revision>94</cp:revision>
  <cp:lastPrinted>2020-06-11T13:17:00Z</cp:lastPrinted>
  <dcterms:created xsi:type="dcterms:W3CDTF">2020-04-24T09:38:00Z</dcterms:created>
  <dcterms:modified xsi:type="dcterms:W3CDTF">2020-06-25T11:47:00Z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138681430</vt:i4>
  </property>
</Properties>
</file>